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4a16" w14:textId="9fc4a16">
      <w:pPr>
        <w:pStyle w:val="TitleStyle"/>
        <w15:collapsed w:val="false"/>
      </w:pPr>
      <w:r>
        <w:t>Przeciwdziałanie przemocy w rodzinie.</w:t>
      </w:r>
    </w:p>
    <w:p>
      <w:pPr>
        <w:pStyle w:val="NormalStyle"/>
      </w:pPr>
      <w:r>
        <w:t>Dz.U.2015.1390 z dnia 2015.09.15</w:t>
      </w:r>
    </w:p>
    <w:p>
      <w:pPr>
        <w:pStyle w:val="NormalStyle"/>
      </w:pPr>
      <w:r>
        <w:t>Status: Akt obowiązujący </w:t>
      </w:r>
    </w:p>
    <w:p>
      <w:pPr>
        <w:pStyle w:val="NormalStyle"/>
      </w:pPr>
      <w:r>
        <w:t>Wersja od: 15 września 2015 r. </w:t>
      </w:r>
    </w:p>
    <w:p>
      <w:pPr>
        <w:pStyle w:val="BoldStyle"/>
      </w:pPr>
      <w:r>
        <w:t>tekst jednolity</w:t>
      </w:r>
    </w:p>
    <w:p>
      <w:pPr>
        <w:spacing w:before="587" w:after="0"/>
        <w:ind w:left="0"/>
        <w:jc w:val="center"/>
        <w:textAlignment w:val="auto"/>
      </w:pPr>
      <w:r>
        <w:rPr>
          <w:rFonts w:ascii="Times New Roman"/>
          <w:b/>
          <w:i w:val="false"/>
          <w:color w:val="000000"/>
          <w:sz w:val="36"/>
          <w:lang w:val="pl-Pl"/>
        </w:rPr>
        <w:t>USTAWA</w:t>
      </w:r>
    </w:p>
    <w:p>
      <w:pPr>
        <w:spacing w:before="320" w:after="0"/>
        <w:ind w:left="0"/>
        <w:jc w:val="center"/>
        <w:textAlignment w:val="auto"/>
      </w:pPr>
      <w:r>
        <w:rPr>
          <w:rFonts w:ascii="Times New Roman"/>
          <w:b w:val="false"/>
          <w:i w:val="false"/>
          <w:color w:val="000000"/>
          <w:sz w:val="30"/>
          <w:lang w:val="pl-Pl"/>
        </w:rPr>
        <w:t>z dnia 29 lipca 2005 r.</w:t>
      </w:r>
    </w:p>
    <w:p>
      <w:pPr>
        <w:spacing w:before="320" w:after="0"/>
        <w:ind w:left="0"/>
        <w:jc w:val="center"/>
        <w:textAlignment w:val="auto"/>
      </w:pPr>
      <w:r>
        <w:rPr>
          <w:rFonts w:ascii="Times New Roman"/>
          <w:b/>
          <w:i w:val="false"/>
          <w:color w:val="000000"/>
          <w:sz w:val="30"/>
          <w:lang w:val="pl-Pl"/>
        </w:rPr>
        <w:t>o przeciwdziałaniu przemocy w rodzinie</w:t>
      </w:r>
    </w:p>
    <w:p>
      <w:pPr>
        <w:spacing w:before="420" w:after="0"/>
        <w:ind w:left="0"/>
        <w:jc w:val="center"/>
        <w:textAlignment w:val="auto"/>
      </w:pPr>
      <w:r>
        <w:rPr>
          <w:rFonts w:ascii="Times New Roman"/>
          <w:b w:val="false"/>
          <w:i w:val="false"/>
          <w:color w:val="000000"/>
          <w:sz w:val="24"/>
          <w:lang w:val="pl-Pl"/>
        </w:rPr>
        <w:t>Uznając, że przemoc w rodzinie narusza podstawowe prawa człowieka, w tym prawo do życia i zdrowia oraz poszanowania godności osobistej, a władze publiczne mają obowiązek zapewnić wszystkim obywatelom równe traktowanie i poszanowanie ich praw i wolności, a także w celu zwiększania skuteczności przeciwdziałania przemocy w rodzinie stanowi się, co następuje:</w:t>
      </w:r>
    </w:p>
    <w:p>
      <w:pPr>
        <w:spacing w:before="320" w:after="0"/>
        <w:ind w:left="0"/>
        <w:jc w:val="left"/>
        <w:textAlignment w:val="auto"/>
      </w:pPr>
      <w:r>
        <w:rPr>
          <w:rFonts w:ascii="Times New Roman"/>
          <w:b/>
          <w:i w:val="false"/>
          <w:color w:val="000000"/>
          <w:sz w:val="24"/>
          <w:lang w:val="pl-Pl"/>
        </w:rPr>
        <w:t>Art. 1.</w:t>
      </w:r>
    </w:p>
    <w:p>
      <w:pPr>
        <w:spacing w:after="0"/>
        <w:ind w:left="0"/>
        <w:jc w:val="left"/>
        <w:textAlignment w:val="auto"/>
      </w:pPr>
      <w:r>
        <w:rPr>
          <w:rFonts w:ascii="Times New Roman"/>
          <w:b w:val="false"/>
          <w:i w:val="false"/>
          <w:color w:val="000000"/>
          <w:sz w:val="24"/>
          <w:lang w:val="pl-Pl"/>
        </w:rPr>
        <w:t>Ustawa określa: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zadania w zakresie przeciwdziałania przemocy w rodzinie;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zasady postępowania wobec osób dotkniętych przemocą w rodzinie;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zasady postępowania wobec osób stosujących przemoc w rodzinie.</w:t>
      </w:r>
    </w:p>
    <w:p>
      <w:pPr>
        <w:spacing w:before="320" w:after="0"/>
        <w:ind w:left="0"/>
        <w:jc w:val="left"/>
        <w:textAlignment w:val="auto"/>
      </w:pPr>
      <w:r>
        <w:rPr>
          <w:rFonts w:ascii="Times New Roman"/>
          <w:b/>
          <w:i w:val="false"/>
          <w:color w:val="000000"/>
          <w:sz w:val="24"/>
          <w:lang w:val="pl-Pl"/>
        </w:rPr>
        <w:t>Art. 2.</w:t>
      </w:r>
    </w:p>
    <w:p>
      <w:pPr>
        <w:spacing w:after="0"/>
        <w:ind w:left="0"/>
        <w:jc w:val="left"/>
        <w:textAlignment w:val="auto"/>
      </w:pPr>
      <w:r>
        <w:rPr>
          <w:rFonts w:ascii="Times New Roman"/>
          <w:b w:val="false"/>
          <w:i w:val="false"/>
          <w:color w:val="000000"/>
          <w:sz w:val="24"/>
          <w:lang w:val="pl-Pl"/>
        </w:rPr>
        <w:t>Ilekroć w ustawie jest mowa 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członku rodziny - należy przez to rozumieć osobę najbliższą w rozumieniu </w:t>
      </w:r>
      <w:r>
        <w:rPr>
          <w:rFonts w:ascii="Times New Roman"/>
          <w:b w:val="false"/>
          <w:i w:val="false"/>
          <w:color w:val="1b1b1b"/>
          <w:sz w:val="24"/>
          <w:lang w:val="pl-Pl"/>
        </w:rPr>
        <w:t>art. 115</w:t>
      </w:r>
      <w:r>
        <w:rPr>
          <w:rFonts w:ascii="Times New Roman"/>
          <w:b w:val="false"/>
          <w:i w:val="false"/>
          <w:color w:val="000000"/>
          <w:sz w:val="24"/>
          <w:lang w:val="pl-Pl"/>
        </w:rPr>
        <w:t xml:space="preserve">  § 11 ustawy z dnia 6 czerwca 1997 r. - Kodeks karny (Dz. U. Nr 88, poz. 553, z późn. zm.), a także inną osobę wspólnie zamieszkującą lub gospodarującą;</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przemocy w rodzinie - należy przez to rozumieć jednorazowe albo powtarzające się umyślne działanie lub zaniechanie naruszające prawa lub dobra osobiste osób wymienionych w pkt 1,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pPr>
        <w:spacing w:before="320" w:after="0"/>
        <w:ind w:left="0"/>
        <w:jc w:val="left"/>
        <w:textAlignment w:val="auto"/>
      </w:pPr>
      <w:r>
        <w:rPr>
          <w:rFonts w:ascii="Times New Roman"/>
          <w:b/>
          <w:i w:val="false"/>
          <w:color w:val="000000"/>
          <w:sz w:val="24"/>
          <w:lang w:val="pl-Pl"/>
        </w:rPr>
        <w:t>Art. 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Osobie dotkniętej przemocą w rodzinie udziela się bezpłatnej pomocy, w szczególności w formie: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poradnictwa medycznego, psychologicznego, prawnego, socjalnego, zawodowego i rodzinnego;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interwencji kryzysowej i wsparcia;</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ochrony przed dalszym krzywdzeniem, przez uniemożliwienie osobom stosującym przemoc korzystania ze wspólnie zajmowanego z innymi członkami rodziny mieszkania oraz zakazanie kontaktowania się i zbliżania się do osoby pokrzywdzonej;</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zapewnienia osobie dotkniętej przemocą w rodzinie bezpiecznego schronienia w specjalistycznym ośrodku wsparcia dla ofiar przemocy w rodzinie;</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badania lekarskiego w celu ustalenia przyczyn i rodzaju uszkodzeń ciała związanych z użyciem przemocy w rodzinie oraz wydania zaświadczenia lekarskiego w tym przedmiocie;</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zapewnienia osobie dotkniętej przemocą w rodzinie, która nie ma tytułu prawnego do zajmowanego wspólnie ze sprawcą przemocy lokalu, pomocy w uzyskaniu mieszkania.</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 Minister właściwy do spraw zdrowia określi, w drodze rozporządzenia, wzór zaświadczenia lekarskiego o przyczynach i rodzaju uszkodzeń ciała związanych z użyciem przemocy w rodzinie, uwzględniając przydatność zaświadczenia dla ochrony prawnej osoby dotkniętej przemocą w rodzinie.</w:t>
      </w:r>
    </w:p>
    <w:p>
      <w:pPr>
        <w:spacing w:before="320" w:after="0"/>
        <w:ind w:left="0"/>
        <w:jc w:val="left"/>
        <w:textAlignment w:val="auto"/>
      </w:pPr>
      <w:r>
        <w:rPr>
          <w:rFonts w:ascii="Times New Roman"/>
          <w:b/>
          <w:i w:val="false"/>
          <w:color w:val="000000"/>
          <w:sz w:val="24"/>
          <w:lang w:val="pl-Pl"/>
        </w:rPr>
        <w:t>Art. 4.</w:t>
      </w:r>
    </w:p>
    <w:p>
      <w:pPr>
        <w:spacing w:after="0"/>
        <w:ind w:left="0"/>
        <w:jc w:val="left"/>
        <w:textAlignment w:val="auto"/>
      </w:pPr>
      <w:r>
        <w:rPr>
          <w:rFonts w:ascii="Times New Roman"/>
          <w:b w:val="false"/>
          <w:i w:val="false"/>
          <w:color w:val="000000"/>
          <w:sz w:val="24"/>
          <w:lang w:val="pl-Pl"/>
        </w:rPr>
        <w:t>Wobec osób stosujących przemoc w rodzinie stosuje się przewidziane w niniejszej ustawie środki mające na celu zapobieganie ich kontaktowaniu się z osobami pokrzywdzonymi oraz oddziaływania korekcyjno-edukacyjne.</w:t>
      </w:r>
    </w:p>
    <w:p>
      <w:pPr>
        <w:spacing w:before="320" w:after="0"/>
        <w:ind w:left="0"/>
        <w:jc w:val="left"/>
        <w:textAlignment w:val="auto"/>
      </w:pPr>
      <w:r>
        <w:rPr>
          <w:rFonts w:ascii="Times New Roman"/>
          <w:b/>
          <w:i w:val="false"/>
          <w:color w:val="000000"/>
          <w:sz w:val="24"/>
          <w:lang w:val="pl-Pl"/>
        </w:rPr>
        <w:t>Art. 5.</w:t>
      </w:r>
    </w:p>
    <w:p>
      <w:pPr>
        <w:spacing w:after="0"/>
        <w:ind w:left="0"/>
        <w:jc w:val="left"/>
        <w:textAlignment w:val="auto"/>
      </w:pPr>
      <w:r>
        <w:rPr>
          <w:rFonts w:ascii="Times New Roman"/>
          <w:b w:val="false"/>
          <w:i w:val="false"/>
          <w:color w:val="000000"/>
          <w:sz w:val="24"/>
          <w:lang w:val="pl-Pl"/>
        </w:rPr>
        <w:t>Minister właściwy do spraw zabezpieczenia społecznego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standard podstawowych usług świadczonych przez specjalistyczne ośrodki wsparcia dla ofiar przemocy w rodzinie,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kwalifikacje osób zatrudnionych w specjalistycznych ośrodkach wsparcia dla ofiar przemocy w rodzinie,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szczegółowe kierunki prowadzenia oddziaływań korekcyjno-edukacyjnych wobec osób stosujących przemoc w rodzinie,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kwalifikacje osób prowadzących oddziaływania korekcyjno-edukacyjne</w:t>
      </w:r>
    </w:p>
    <w:p>
      <w:pPr>
        <w:spacing w:before="213" w:after="240"/>
        <w:ind w:left="533"/>
        <w:jc w:val="both"/>
        <w:textAlignment w:val="auto"/>
      </w:pPr>
      <w:r>
        <w:rPr>
          <w:rFonts w:ascii="Times New Roman"/>
          <w:b w:val="false"/>
          <w:i w:val="false"/>
          <w:color w:val="000000"/>
          <w:sz w:val="24"/>
          <w:lang w:val="pl-Pl"/>
        </w:rPr>
        <w:t>- uwzględniając konieczność dostosowania zakresu pomocy do sytuacji oraz potrzeb osób dotkniętych przemocą w rodzinie, a także efektywność usług świadczonych przez specjalistyczne ośrodki wsparcia dla ofiar przemocy w rodzinie i skuteczność oddziaływań korekcyjno-edukacyjnych wobec osób stosujących przemoc w rodzinie.</w:t>
      </w:r>
    </w:p>
    <w:p>
      <w:pPr>
        <w:spacing w:before="320" w:after="0"/>
        <w:ind w:left="0"/>
        <w:jc w:val="left"/>
        <w:textAlignment w:val="auto"/>
      </w:pPr>
      <w:r>
        <w:rPr>
          <w:rFonts w:ascii="Times New Roman"/>
          <w:b/>
          <w:i w:val="false"/>
          <w:color w:val="000000"/>
          <w:sz w:val="24"/>
          <w:lang w:val="pl-Pl"/>
        </w:rPr>
        <w:t>Art. 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Zadania w zakresie przeciwdziałania przemocy w rodzinie są realizowane przez organy administracji rządowej i jednostki samorządu terytorialnego na zasadach określonych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12 marca 2004 r. o pomocy społecznej (Dz. U. z 2015 r. poz. 163, z późn. zm.) lub </w:t>
      </w:r>
      <w:r>
        <w:rPr>
          <w:rFonts w:ascii="Times New Roman"/>
          <w:b w:val="false"/>
          <w:i w:val="false"/>
          <w:color w:val="1b1b1b"/>
          <w:sz w:val="24"/>
          <w:lang w:val="pl-Pl"/>
        </w:rPr>
        <w:t>ustawy</w:t>
      </w:r>
      <w:r>
        <w:rPr>
          <w:rFonts w:ascii="Times New Roman"/>
          <w:b w:val="false"/>
          <w:i w:val="false"/>
          <w:color w:val="000000"/>
          <w:sz w:val="24"/>
          <w:lang w:val="pl-Pl"/>
        </w:rPr>
        <w:t xml:space="preserve">  z dnia 26 października 1982 r. o wychowaniu w trzeźwości i przeciwdziałaniu alkoholizmowi (Dz. U. z 2015 r. poz. 1286), chyba że przepisy niniejszej ustawy stanowią inaczej.</w:t>
      </w:r>
    </w:p>
    <w:p>
      <w:pPr>
        <w:spacing w:before="107"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 Do zadań własnych gminy należy w szczególności tworzenie gminnego systemu przeciwdziałania przemocy w rodzinie, w tym:</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opracowanie i realizacja gminnego programu przeciwdziałania przemocy w rodzinie oraz ochrony ofiar przemocy w rodzinie;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prowadzenie poradnictwa i interwencji w zakresie przeciwdziałania przemocy w rodzinie w szczególności poprzez działania edukacyjne służące wzmocnieniu opiekuńczych i wychowawczych kompetencji rodziców w rodzinach zagrożonych przemocą w rodzinie;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zapewnienie osobom dotkniętym przemocą w rodzinie miejsc w ośrodkach wsparcia;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tworzenie zespołów interdyscyplinarnych.</w:t>
      </w:r>
    </w:p>
    <w:p>
      <w:pPr>
        <w:spacing w:before="107"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 Do zadań własnych powiatu należy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opracowanie i realizacja powiatowego programu przeciwdziałania przemocy w rodzinie oraz ochrony ofiar przemocy w rodzinie;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opracowanie i realizacja programów służących działaniom profilaktycznym mającym na celu udzielenie specjalistycznej pomocy, zwłaszcza w zakresie promowania i wdrożenia prawidłowych metod wychowawczych w stosunku do dzieci w rodzinach zagrożonych przemocą w rodzinie;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zapewnienie osobom dotkniętym przemocą w rodzinie miejsc w ośrodkach wsparcia;</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zapewnienie osobom dotkniętym przemocą w rodzinie miejsc w ośrodkach interwencji kryzysowej.</w:t>
      </w:r>
    </w:p>
    <w:p>
      <w:pPr>
        <w:spacing w:before="107"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 xml:space="preserve"> Do zadań z zakresu administracji rządowej realizowanych przez powiat należy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tworzenie i prowadzenie specjalistycznych ośrodków wsparcia dla ofiar przemocy w rodzinie;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opracowywanie i realizacja programów oddziaływań korekcyjno-edukacyjnych dla osób stosujących przemoc w rodzinie.</w:t>
      </w:r>
    </w:p>
    <w:p>
      <w:pPr>
        <w:spacing w:before="107"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 xml:space="preserve"> Środki na realizację i obsługę zadań, o których mowa w ust. 4, zapewnia budżet państwa.</w:t>
      </w:r>
    </w:p>
    <w:p>
      <w:pPr>
        <w:spacing w:before="107"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 xml:space="preserve"> Do zadań własnych samorządu województwa należy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opracowanie i realizacja wojewódzkiego programu przeciwdziałania przemocy w rodzinie;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inspirowanie i promowanie nowych rozwiązań w zakresie przeciwdziałania przemocy w rodzinie;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opracowywanie ramowych programów ochrony ofiar przemocy w rodzinie oraz ramowych programów oddziaływań korekcyjno-edukacyjnych dla osób stosujących przemoc w rodzinie;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organizowanie szkoleń dla osób realizujących zadania związane z przeciwdziałaniem przemocy w rodzinie.</w:t>
      </w:r>
    </w:p>
    <w:p>
      <w:pPr>
        <w:spacing w:before="320" w:after="0"/>
        <w:ind w:left="0"/>
        <w:jc w:val="left"/>
        <w:textAlignment w:val="auto"/>
      </w:pPr>
      <w:r>
        <w:rPr>
          <w:rFonts w:ascii="Times New Roman"/>
          <w:b/>
          <w:i w:val="false"/>
          <w:color w:val="000000"/>
          <w:sz w:val="24"/>
          <w:lang w:val="pl-Pl"/>
        </w:rPr>
        <w:t>Art. 6a.</w:t>
      </w:r>
    </w:p>
    <w:p>
      <w:pPr>
        <w:spacing w:after="0"/>
        <w:ind w:left="0"/>
        <w:jc w:val="left"/>
        <w:textAlignment w:val="auto"/>
      </w:pPr>
      <w:r>
        <w:rPr>
          <w:rFonts w:ascii="Times New Roman"/>
          <w:b w:val="false"/>
          <w:i w:val="false"/>
          <w:color w:val="000000"/>
          <w:sz w:val="24"/>
          <w:lang w:val="pl-Pl"/>
        </w:rPr>
        <w:t xml:space="preserve">Osoby kierujące specjalistycznymi ośrodkami wsparcia dla ofiar przemocy w rodzinie muszą spełniać wymogi dotyczące kwalifikacji określone w </w:t>
      </w:r>
      <w:r>
        <w:rPr>
          <w:rFonts w:ascii="Times New Roman"/>
          <w:b w:val="false"/>
          <w:i w:val="false"/>
          <w:color w:val="1b1b1b"/>
          <w:sz w:val="24"/>
          <w:lang w:val="pl-Pl"/>
        </w:rPr>
        <w:t>art. 122</w:t>
      </w:r>
      <w:r>
        <w:rPr>
          <w:rFonts w:ascii="Times New Roman"/>
          <w:b w:val="false"/>
          <w:i w:val="false"/>
          <w:color w:val="000000"/>
          <w:sz w:val="24"/>
          <w:lang w:val="pl-Pl"/>
        </w:rPr>
        <w:t xml:space="preserve"> ustawy z dnia 12 marca 2004 r. o pomocy społecznej.</w:t>
      </w:r>
    </w:p>
    <w:p>
      <w:pPr>
        <w:spacing w:before="320" w:after="0"/>
        <w:ind w:left="0"/>
        <w:jc w:val="left"/>
        <w:textAlignment w:val="auto"/>
      </w:pPr>
      <w:r>
        <w:rPr>
          <w:rFonts w:ascii="Times New Roman"/>
          <w:b/>
          <w:i w:val="false"/>
          <w:color w:val="000000"/>
          <w:sz w:val="24"/>
          <w:lang w:val="pl-Pl"/>
        </w:rPr>
        <w:t>Art. 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Do zadań wojewody należy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opracowywanie materiałów instruktażowych, zaleceń, procedur postępowania interwencyjnego w sytuacjach kryzysowych związanych z przemocą w rodzinie dla osób realizujących te zadania;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monitorowanie zjawiska przemocy w rodzinie;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powoływanie i odwoływanie Wojewódzkiego Koordynatora Realizacji Krajowego Programu Przeciwdziałania Przemocy w Rodzinie;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monitorowanie realizacji Krajowego Programu Przeciwdziałania Przemocy w Rodzinie przy pomocy Wojewódzkiego Koordynatora Realizacji Krajowego Programu Przeciwdziałania Przemocy w Rodzinie;</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nadzór nad realizacją zadań z zakresu przeciwdziałania przemocy w rodzinie realizowanych przez samorząd gminny, powiatowy i województwa;</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kontrola realizacji zadań z zakresu przeciwdziałania przemocy w rodzinie wykonywanych przez podmioty niepubliczne na podstawie umów z organami administracji rządowej i samorządowej.</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 Do nadzoru i kontroli, o których mowa w ust. 1 pkt 5 i 6, stosuje się odpowiednio przepisy </w:t>
      </w:r>
      <w:r>
        <w:rPr>
          <w:rFonts w:ascii="Times New Roman"/>
          <w:b w:val="false"/>
          <w:i w:val="false"/>
          <w:color w:val="1b1b1b"/>
          <w:sz w:val="24"/>
          <w:lang w:val="pl-Pl"/>
        </w:rPr>
        <w:t>art. 126-133</w:t>
      </w:r>
      <w:r>
        <w:rPr>
          <w:rFonts w:ascii="Times New Roman"/>
          <w:b w:val="false"/>
          <w:i w:val="false"/>
          <w:color w:val="000000"/>
          <w:sz w:val="24"/>
          <w:lang w:val="pl-Pl"/>
        </w:rPr>
        <w:t xml:space="preserve">  ustawy z dnia 12 marca 2004 r. o pomocy społecznej.</w:t>
      </w:r>
    </w:p>
    <w:p>
      <w:pPr>
        <w:spacing w:before="107"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 Minister właściwy do spraw zabezpieczenia społecznego określi, w drodze rozporządzenia: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organizację i tryb przeprowadzania nadzoru i kontroli, kwalifikacje inspektorów upoważnionych do wykonywania czynności nadzorczych i kontrolnych, a także wzór legitymacji uprawniającej do wykonywania czynności nadzorczych i kontrolnych,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kwalifikacje Wojewódzkiego Koordynatora Realizacji Krajowego Programu Przeciwdziałania Przemocy w Rodzinie</w:t>
      </w:r>
    </w:p>
    <w:p>
      <w:pPr>
        <w:spacing w:before="213" w:after="240"/>
        <w:ind w:left="533"/>
        <w:jc w:val="both"/>
        <w:textAlignment w:val="auto"/>
      </w:pPr>
      <w:r>
        <w:rPr>
          <w:rFonts w:ascii="Times New Roman"/>
          <w:b w:val="false"/>
          <w:i w:val="false"/>
          <w:color w:val="000000"/>
          <w:sz w:val="24"/>
          <w:lang w:val="pl-Pl"/>
        </w:rPr>
        <w:t>- uwzględniając konieczność zapewnienia odpowiedniego poziomu wykonywania zadań.</w:t>
      </w:r>
    </w:p>
    <w:p>
      <w:pPr>
        <w:spacing w:before="320" w:after="0"/>
        <w:ind w:left="0"/>
        <w:jc w:val="left"/>
        <w:textAlignment w:val="auto"/>
      </w:pPr>
      <w:r>
        <w:rPr>
          <w:rFonts w:ascii="Times New Roman"/>
          <w:b/>
          <w:i w:val="false"/>
          <w:color w:val="000000"/>
          <w:sz w:val="24"/>
          <w:lang w:val="pl-Pl"/>
        </w:rPr>
        <w:t>Art. 8.</w:t>
      </w:r>
    </w:p>
    <w:p>
      <w:pPr>
        <w:spacing w:after="0"/>
        <w:ind w:left="0"/>
        <w:jc w:val="left"/>
        <w:textAlignment w:val="auto"/>
      </w:pPr>
      <w:r>
        <w:rPr>
          <w:rFonts w:ascii="Times New Roman"/>
          <w:b w:val="false"/>
          <w:i w:val="false"/>
          <w:color w:val="000000"/>
          <w:sz w:val="24"/>
          <w:lang w:val="pl-Pl"/>
        </w:rPr>
        <w:t>Do zadań ministra właściwego do spraw zabezpieczenia społecznego należy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zlecanie i finansowanie badań, ekspertyz i analiz dotyczących zjawiska przemocy w rodzinie;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prowadzenie działań promujących podnoszenie świadomości społecznej w zakresie przyczyn i skutków przemocy w rodzinie;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powoływanie i odwoływanie Krajowego Koordynatora Realizacji Krajowego Programu Przeciwdziałania Przemocy w Rodzinie w randze sekretarza lub podsekretarza stanu w urzędzie obsługującym ministra właściwego do spraw zabezpieczenia społecznego;</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monitorowanie realizacji Krajowego Programu Przeciwdziałania Przemocy w Rodzinie przy pomocy koordynatora, o którym mowa w pkt 3;</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opracowanie oraz wydawanie co najmniej raz na dwa lata wytycznych do prowadzenia szkoleń w zakresie przeciwdziałania przemocy w rodzinie;</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opracowywanie i finansowanie programów osłonowych z zakresu przeciwdziałania przemocy w rodzinie;</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finansowe wspieranie programów z zakresu przeciwdziałania przemocy w rodzinie realizowanych przez: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jednostki samorządu terytorialnego,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 organizacje pozarządowe działające na rzecz przeciwdziałania przemocy w rodzinie,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 jednostki organizacyjne działające na podstawie przepisów o stosunku Państwa do Kościoła Katolickiego w Rzeczypospolitej Polskiej, stosunku Państwa do innych kościołów i związków wyznaniowych oraz o gwarancji wolności sumienia i wyznania, jeżeli ich cele statutowe obejmują prowadzenie działalności w zakresie przeciwdziałania przemocy w rodzinie.</w:t>
      </w:r>
    </w:p>
    <w:p>
      <w:pPr>
        <w:spacing w:before="320" w:after="0"/>
        <w:ind w:left="0"/>
        <w:jc w:val="left"/>
        <w:textAlignment w:val="auto"/>
      </w:pPr>
      <w:r>
        <w:rPr>
          <w:rFonts w:ascii="Times New Roman"/>
          <w:b/>
          <w:i w:val="false"/>
          <w:color w:val="000000"/>
          <w:sz w:val="24"/>
          <w:lang w:val="pl-Pl"/>
        </w:rPr>
        <w:t>Art. 8a.</w:t>
      </w:r>
    </w:p>
    <w:p>
      <w:pPr>
        <w:spacing w:after="0"/>
        <w:ind w:left="0"/>
        <w:jc w:val="left"/>
        <w:textAlignment w:val="auto"/>
      </w:pPr>
      <w:r>
        <w:rPr>
          <w:rFonts w:ascii="Times New Roman"/>
          <w:b w:val="false"/>
          <w:i w:val="false"/>
          <w:color w:val="000000"/>
          <w:sz w:val="24"/>
          <w:lang w:val="pl-Pl"/>
        </w:rPr>
        <w:t>Do zadań Prokuratora Generalnego należy opracowywanie i wydawanie co najmniej raz na dwa lata wytycznych dotyczących zasad postępowania powszechnych jednostek organizacyjnych prokuratury w zakresie przeciwdziałania przemocy w rodzinie.</w:t>
      </w:r>
    </w:p>
    <w:p>
      <w:pPr>
        <w:spacing w:before="320" w:after="0"/>
        <w:ind w:left="0"/>
        <w:jc w:val="left"/>
        <w:textAlignment w:val="auto"/>
      </w:pPr>
      <w:r>
        <w:rPr>
          <w:rFonts w:ascii="Times New Roman"/>
          <w:b/>
          <w:i w:val="false"/>
          <w:color w:val="000000"/>
          <w:sz w:val="24"/>
          <w:lang w:val="pl-Pl"/>
        </w:rPr>
        <w:t>Art. 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Organy administracji rządowej i samorządowej współdziałają z organizacjami pozarządowymi oraz kościołami i związkami wyznaniowymi w zakresie udzielania pomocy osobom dotkniętym przemocą, oddziaływania na osoby stosujące przemoc oraz podnoszenia świadomości społecznej na temat przyczyn i skutków przemocy w rodzinie.</w:t>
      </w:r>
    </w:p>
    <w:p>
      <w:pPr>
        <w:spacing w:before="107"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 Organy administracji rządowej lub samorządowej mogą zlecać realizację zadań określonych w ustawie w trybie przewidzianym w </w:t>
      </w:r>
      <w:r>
        <w:rPr>
          <w:rFonts w:ascii="Times New Roman"/>
          <w:b w:val="false"/>
          <w:i w:val="false"/>
          <w:color w:val="1b1b1b"/>
          <w:sz w:val="24"/>
          <w:lang w:val="pl-Pl"/>
        </w:rPr>
        <w:t>ustawie</w:t>
      </w:r>
      <w:r>
        <w:rPr>
          <w:rFonts w:ascii="Times New Roman"/>
          <w:b w:val="false"/>
          <w:i w:val="false"/>
          <w:color w:val="000000"/>
          <w:sz w:val="24"/>
          <w:lang w:val="pl-Pl"/>
        </w:rPr>
        <w:t xml:space="preserve">  z dnia 24 kwietnia 2003 r. o działalności pożytku publicznego i o wolontariacie (Dz. U. z 2014 r. poz. 1118, z późn. zm.).</w:t>
      </w:r>
    </w:p>
    <w:p>
      <w:pPr>
        <w:spacing w:before="320" w:after="0"/>
        <w:ind w:left="0"/>
        <w:jc w:val="left"/>
        <w:textAlignment w:val="auto"/>
      </w:pPr>
      <w:r>
        <w:rPr>
          <w:rFonts w:ascii="Times New Roman"/>
          <w:b/>
          <w:i w:val="false"/>
          <w:color w:val="000000"/>
          <w:sz w:val="24"/>
          <w:lang w:val="pl-Pl"/>
        </w:rPr>
        <w:t>Art. 9a.</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Gmina podejmuje działania na rzecz przeciwdziałania przemocy w rodzinie, w szczególności w ramach pracy w zespole interdyscyplinarnym.</w:t>
      </w:r>
    </w:p>
    <w:p>
      <w:pPr>
        <w:spacing w:before="107"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 Zespół interdyscyplinarny powołuje wójt, burmistrz albo prezydent miasta.</w:t>
      </w:r>
    </w:p>
    <w:p>
      <w:pPr>
        <w:spacing w:before="107"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 W skład zespołu interdyscyplinarnego wchodzą przedstawiciele: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jednostek organizacyjnych pomocy społecznej;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gminnej komisji rozwiązywania problemów alkoholowych;</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Policji;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oświaty;</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ochrony zdrowia;</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organizacji pozarządowych.</w:t>
      </w:r>
    </w:p>
    <w:p>
      <w:pPr>
        <w:spacing w:before="107"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 xml:space="preserve"> W skład zespołu interdyscyplinarnego wchodzą także kuratorzy sądowi.</w:t>
      </w:r>
    </w:p>
    <w:p>
      <w:pPr>
        <w:spacing w:before="107"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 xml:space="preserve"> W skład zespołu interdyscyplinarnego mogą wchodzić także prokuratorzy oraz przedstawiciele podmiotów innych niż określone w ust. 3, działających na rzecz przeciwdziałania przemocy w rodzinie.</w:t>
      </w:r>
    </w:p>
    <w:p>
      <w:pPr>
        <w:spacing w:before="107"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 xml:space="preserve"> Przewodniczący zespołu interdyscyplinarnego jest wybierany na pierwszym posiedzeniu zespołu spośród jego członków.</w:t>
      </w:r>
    </w:p>
    <w:p>
      <w:pPr>
        <w:spacing w:before="107"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 xml:space="preserve"> Posiedzenia zespołu interdyscyplinarnego odbywają się w zależności od potrzeb, jednak nie rzadziej niż raz na trzy miesiące.</w:t>
      </w:r>
    </w:p>
    <w:p>
      <w:pPr>
        <w:spacing w:before="107" w:after="0"/>
        <w:ind w:left="0"/>
        <w:jc w:val="left"/>
        <w:textAlignment w:val="auto"/>
      </w:pPr>
      <w:r>
        <w:rPr>
          <w:rFonts w:ascii="Times New Roman"/>
          <w:b w:val="false"/>
          <w:i w:val="false"/>
          <w:color w:val="000000"/>
          <w:sz w:val="24"/>
          <w:lang w:val="pl-Pl"/>
        </w:rPr>
        <w:t>8.</w:t>
      </w:r>
      <w:r>
        <w:rPr>
          <w:rFonts w:ascii="Times New Roman"/>
          <w:b w:val="false"/>
          <w:i w:val="false"/>
          <w:color w:val="000000"/>
          <w:sz w:val="24"/>
          <w:lang w:val="pl-Pl"/>
        </w:rPr>
        <w:t xml:space="preserve"> Zespół interdyscyplinarny działa na podstawie porozumień zawartych między wójtem, burmistrzem albo prezydentem miasta a podmiotami, o których mowa w ust. 3 lub 5.</w:t>
      </w:r>
    </w:p>
    <w:p>
      <w:pPr>
        <w:spacing w:before="107" w:after="0"/>
        <w:ind w:left="0"/>
        <w:jc w:val="left"/>
        <w:textAlignment w:val="auto"/>
      </w:pPr>
      <w:r>
        <w:rPr>
          <w:rFonts w:ascii="Times New Roman"/>
          <w:b w:val="false"/>
          <w:i w:val="false"/>
          <w:color w:val="000000"/>
          <w:sz w:val="24"/>
          <w:lang w:val="pl-Pl"/>
        </w:rPr>
        <w:t>9.</w:t>
      </w:r>
      <w:r>
        <w:rPr>
          <w:rFonts w:ascii="Times New Roman"/>
          <w:b w:val="false"/>
          <w:i w:val="false"/>
          <w:color w:val="000000"/>
          <w:sz w:val="24"/>
          <w:lang w:val="pl-Pl"/>
        </w:rPr>
        <w:t xml:space="preserve"> Obsługę organizacyjno-techniczną zespołu interdyscyplinarnego zapewnia ośrodek pomocy społecznej.</w:t>
      </w:r>
    </w:p>
    <w:p>
      <w:pPr>
        <w:spacing w:before="107" w:after="0"/>
        <w:ind w:left="0"/>
        <w:jc w:val="left"/>
        <w:textAlignment w:val="auto"/>
      </w:pPr>
      <w:r>
        <w:rPr>
          <w:rFonts w:ascii="Times New Roman"/>
          <w:b w:val="false"/>
          <w:i w:val="false"/>
          <w:color w:val="000000"/>
          <w:sz w:val="24"/>
          <w:lang w:val="pl-Pl"/>
        </w:rPr>
        <w:t>10.</w:t>
      </w:r>
      <w:r>
        <w:rPr>
          <w:rFonts w:ascii="Times New Roman"/>
          <w:b w:val="false"/>
          <w:i w:val="false"/>
          <w:color w:val="000000"/>
          <w:sz w:val="24"/>
          <w:lang w:val="pl-Pl"/>
        </w:rPr>
        <w:t xml:space="preserve"> Zespół interdyscyplinarny może tworzyć grupy robocze w celu rozwiązywania problemów związanych z wystąpieniem przemocy w rodzinie w indywidualnych przypadkach.</w:t>
      </w:r>
    </w:p>
    <w:p>
      <w:pPr>
        <w:spacing w:before="107" w:after="0"/>
        <w:ind w:left="0"/>
        <w:jc w:val="left"/>
        <w:textAlignment w:val="auto"/>
      </w:pPr>
      <w:r>
        <w:rPr>
          <w:rFonts w:ascii="Times New Roman"/>
          <w:b w:val="false"/>
          <w:i w:val="false"/>
          <w:color w:val="000000"/>
          <w:sz w:val="24"/>
          <w:lang w:val="pl-Pl"/>
        </w:rPr>
        <w:t>11.</w:t>
      </w:r>
      <w:r>
        <w:rPr>
          <w:rFonts w:ascii="Times New Roman"/>
          <w:b w:val="false"/>
          <w:i w:val="false"/>
          <w:color w:val="000000"/>
          <w:sz w:val="24"/>
          <w:lang w:val="pl-Pl"/>
        </w:rPr>
        <w:t xml:space="preserve"> W skład grup roboczych wchodzą przedstawiciele: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jednostek organizacyjnych pomocy społecznej;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gminnej komisji rozwiązywania problemów alkoholowych;</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Policji;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oświaty;</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ochrony zdrowia.</w:t>
      </w:r>
    </w:p>
    <w:p>
      <w:pPr>
        <w:spacing w:before="107" w:after="0"/>
        <w:ind w:left="0"/>
        <w:jc w:val="left"/>
        <w:textAlignment w:val="auto"/>
      </w:pPr>
      <w:r>
        <w:rPr>
          <w:rFonts w:ascii="Times New Roman"/>
          <w:b w:val="false"/>
          <w:i w:val="false"/>
          <w:color w:val="000000"/>
          <w:sz w:val="24"/>
          <w:lang w:val="pl-Pl"/>
        </w:rPr>
        <w:t>12.</w:t>
      </w:r>
      <w:r>
        <w:rPr>
          <w:rFonts w:ascii="Times New Roman"/>
          <w:b w:val="false"/>
          <w:i w:val="false"/>
          <w:color w:val="000000"/>
          <w:sz w:val="24"/>
          <w:lang w:val="pl-Pl"/>
        </w:rPr>
        <w:t xml:space="preserve"> W skład grup roboczych mogą wchodzić także kuratorzy sądowi, a także przedstawiciele innych podmiotów, specjaliści w dziedzinie przeciwdziałania przemocy w rodzinie.</w:t>
      </w:r>
    </w:p>
    <w:p>
      <w:pPr>
        <w:spacing w:before="107" w:after="0"/>
        <w:ind w:left="0"/>
        <w:jc w:val="left"/>
        <w:textAlignment w:val="auto"/>
      </w:pPr>
      <w:r>
        <w:rPr>
          <w:rFonts w:ascii="Times New Roman"/>
          <w:b w:val="false"/>
          <w:i w:val="false"/>
          <w:color w:val="000000"/>
          <w:sz w:val="24"/>
          <w:lang w:val="pl-Pl"/>
        </w:rPr>
        <w:t>13.</w:t>
      </w:r>
      <w:r>
        <w:rPr>
          <w:rFonts w:ascii="Times New Roman"/>
          <w:b w:val="false"/>
          <w:i w:val="false"/>
          <w:color w:val="000000"/>
          <w:sz w:val="24"/>
          <w:lang w:val="pl-Pl"/>
        </w:rPr>
        <w:t xml:space="preserve"> Członkowie zespołu interdyscyplinarnego oraz grup roboczych wykonują zadania w ramach obowiązków służbowych lub zawodowych.</w:t>
      </w:r>
    </w:p>
    <w:p>
      <w:pPr>
        <w:spacing w:before="107" w:after="0"/>
        <w:ind w:left="0"/>
        <w:jc w:val="left"/>
        <w:textAlignment w:val="auto"/>
      </w:pPr>
      <w:r>
        <w:rPr>
          <w:rFonts w:ascii="Times New Roman"/>
          <w:b w:val="false"/>
          <w:i w:val="false"/>
          <w:color w:val="000000"/>
          <w:sz w:val="24"/>
          <w:lang w:val="pl-Pl"/>
        </w:rPr>
        <w:t>14.</w:t>
      </w:r>
      <w:r>
        <w:rPr>
          <w:rFonts w:ascii="Times New Roman"/>
          <w:b w:val="false"/>
          <w:i w:val="false"/>
          <w:color w:val="000000"/>
          <w:sz w:val="24"/>
          <w:lang w:val="pl-Pl"/>
        </w:rPr>
        <w:t xml:space="preserve"> Prace w ramach grup roboczych są prowadzone w zależności od potrzeb zgłaszanych przez zespół interdyscyplinarny lub wynikających z problemów występujących w indywidualnych przypadkach.</w:t>
      </w:r>
    </w:p>
    <w:p>
      <w:pPr>
        <w:spacing w:before="107" w:after="0"/>
        <w:ind w:left="0"/>
        <w:jc w:val="left"/>
        <w:textAlignment w:val="auto"/>
      </w:pPr>
      <w:r>
        <w:rPr>
          <w:rFonts w:ascii="Times New Roman"/>
          <w:b w:val="false"/>
          <w:i w:val="false"/>
          <w:color w:val="000000"/>
          <w:sz w:val="24"/>
          <w:lang w:val="pl-Pl"/>
        </w:rPr>
        <w:t>15.</w:t>
      </w:r>
      <w:r>
        <w:rPr>
          <w:rFonts w:ascii="Times New Roman"/>
          <w:b w:val="false"/>
          <w:i w:val="false"/>
          <w:color w:val="000000"/>
          <w:sz w:val="24"/>
          <w:lang w:val="pl-Pl"/>
        </w:rPr>
        <w:t xml:space="preserve"> Rada gminy określi, w drodze uchwały, tryb i sposób powoływania i odwoływania członków zespołu interdyscyplinarnego oraz szczegółowe warunki jego funkcjonowania.</w:t>
      </w:r>
    </w:p>
    <w:p>
      <w:pPr>
        <w:spacing w:before="320" w:after="0"/>
        <w:ind w:left="0"/>
        <w:jc w:val="left"/>
        <w:textAlignment w:val="auto"/>
      </w:pPr>
      <w:r>
        <w:rPr>
          <w:rFonts w:ascii="Times New Roman"/>
          <w:b/>
          <w:i w:val="false"/>
          <w:color w:val="000000"/>
          <w:sz w:val="24"/>
          <w:lang w:val="pl-Pl"/>
        </w:rPr>
        <w:t>Art. 9b.</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Zespół interdyscyplinarny realizuje działania określone w gminnym programie przeciwdziałania przemocy w rodzinie oraz ochrony ofiar przemocy w rodzinie.</w:t>
      </w:r>
    </w:p>
    <w:p>
      <w:pPr>
        <w:spacing w:before="107"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 Zadaniem zespołu interdyscyplinarnego jest integrowanie i koordynowanie działań podmiotów, o których mowa w art. 9a ust. 3 i 5, oraz specjalistów w zakresie przeciwdziałania przemocy w rodzinie, w szczególności przez:</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diagnozowanie problemu przemocy w rodzinie;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podejmowanie działań w środowisku zagrożonym przemocą w rodzinie mających na celu przeciwdziałanie temu zjawisku;</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inicjowanie interwencji w środowisku dotkniętym przemocą w rodzinie;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rozpowszechnianie informacji o instytucjach, osobach i możliwościach udzielenia pomocy w środowisku lokalnym;</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inicjowanie działań w stosunku do osób stosujących przemoc w rodzinie.</w:t>
      </w:r>
    </w:p>
    <w:p>
      <w:pPr>
        <w:spacing w:before="107"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 Do zadań grup roboczych należy,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opracowanie i realizacja planu pomocy w indywidualnych przypadkach wystąpienia przemocy w rodzinie;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monitorowanie sytuacji rodzin, w których dochodzi do przemocy oraz rodzin zagrożonych wystąpieniem przemocy;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dokumentowanie działań podejmowanych wobec rodzin, w których dochodzi do przemocy oraz efektów tych działań.</w:t>
      </w:r>
    </w:p>
    <w:p>
      <w:pPr>
        <w:spacing w:before="320" w:after="0"/>
        <w:ind w:left="0"/>
        <w:jc w:val="left"/>
        <w:textAlignment w:val="auto"/>
      </w:pPr>
      <w:r>
        <w:rPr>
          <w:rFonts w:ascii="Times New Roman"/>
          <w:b/>
          <w:i w:val="false"/>
          <w:color w:val="000000"/>
          <w:sz w:val="24"/>
          <w:lang w:val="pl-Pl"/>
        </w:rPr>
        <w:t>Art. 9c.</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Członkowie zespołu interdyscyplinarnego oraz grup roboczych w zakresie niezbędnym do realizacji zadań, o których mowa w art. 9b ust. 2 i 3, mogą przetwarzać dane osób dotkniętych przemocą w rodzinie i osób stosujących przemoc w rodzinie, dotyczące: stanu zdrowia, nałogów, skazań, orzeczeń o ukaraniu, a także innych orzeczeń wydanych w postępowaniu sądowym lub administracyjnym, bez zgody i wiedzy osób, których dane te dotyczą.</w:t>
      </w:r>
    </w:p>
    <w:p>
      <w:pPr>
        <w:spacing w:before="107"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 Członkowie zespołu interdyscyplinarnego oraz grup roboczych zobowiązani są do zachowania poufności wszelkich informacji i danych, które uzyskali przy realizacji zadań, o których mowa w art. 9b ust. 2 i 3. Obowiązek ten rozciąga się także na okres po ustaniu członkostwa w zespole interdyscyplinarnym oraz w grupach roboczych.</w:t>
      </w:r>
    </w:p>
    <w:p>
      <w:pPr>
        <w:spacing w:before="107"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 Przed przystąpieniem do wykonywania czynności, o których mowa w art. 9b ust. 2 i 3, członkowie zespołu interdyscyplinarnego oraz grup roboczych składają organowi, o którym mowa w art. 9a ust. 2, oświadczenie o następującej treści: "Oświadczam, że zachowam poufność informacji i danych, które uzyskałem przy realizacji zadań związanych z przeciwdziałaniem przemocy w rodzinie oraz, że znane mi są przepisy o odpowiedzialności karnej za udostępnienie danych osobowych lub umożliwienie do nich dostępu osobom nieuprawnionym.".</w:t>
      </w:r>
    </w:p>
    <w:p>
      <w:pPr>
        <w:spacing w:before="320" w:after="0"/>
        <w:ind w:left="0"/>
        <w:jc w:val="left"/>
        <w:textAlignment w:val="auto"/>
      </w:pPr>
      <w:r>
        <w:rPr>
          <w:rFonts w:ascii="Times New Roman"/>
          <w:b/>
          <w:i w:val="false"/>
          <w:color w:val="000000"/>
          <w:sz w:val="24"/>
          <w:lang w:val="pl-Pl"/>
        </w:rPr>
        <w:t>Art. 9d.</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Podejmowanie interwencji w środowisku wobec rodziny dotkniętej przemocą odbywa się w oparciu o procedurę "Niebieskie Karty" i nie wymaga zgody osoby dotkniętej przemocą w rodzinie.</w:t>
      </w:r>
    </w:p>
    <w:p>
      <w:pPr>
        <w:spacing w:before="107"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 Procedura "Niebieskie Karty" obejmuje ogół czynności podejmowanych i realizowanych przez przedstawicieli jednostek organizacyjnych pomocy społecznej, gminnych komisji rozwiązywania problemów alkoholowych, Policji, oświaty i ochrony zdrowia, w związku z uzasadnionym podejrzeniem zaistnienia przemocy w rodzinie.</w:t>
      </w:r>
    </w:p>
    <w:p>
      <w:pPr>
        <w:spacing w:before="107"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 Przedstawiciele podmiotów, o których mowa w ust. 2, realizują procedurę "Niebieskie Karty" w oparciu o zasadę współpracy i przekazują informacje o podjętych działaniach przewodniczącemu zespołu interdyscyplinarnego.</w:t>
      </w:r>
    </w:p>
    <w:p>
      <w:pPr>
        <w:spacing w:before="107"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 xml:space="preserve"> Wszczęcie procedury "Niebieskie Karty" następuje przez wypełnienie formularza "Niebieska Karta" w przypadku powzięcia, w toku prowadzonych czynności służbowych lub zawodowych, podejrzenia stosowania przemocy wobec członków rodziny lub w wyniku zgłoszenia dokonanego przez członka rodziny lub przez osobę będącą świadkiem przemocy w rodzinie.</w:t>
      </w:r>
    </w:p>
    <w:p>
      <w:pPr>
        <w:spacing w:before="107"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 xml:space="preserve"> Rada Ministrów określi, w drodze rozporządzenia, procedurę "Niebieskie Karty" oraz wzory formularzy "Niebieska Karta" wypełnianych przez przedstawicieli podmiotów realizujących procedurę "Niebieskie Karty", mając na uwadze skuteczność działań wobec osób dotkniętych przemocą w rodzinie i dobro tych osób.</w:t>
      </w:r>
    </w:p>
    <w:p>
      <w:pPr>
        <w:spacing w:before="320" w:after="0"/>
        <w:ind w:left="0"/>
        <w:jc w:val="left"/>
        <w:textAlignment w:val="auto"/>
      </w:pPr>
      <w:r>
        <w:rPr>
          <w:rFonts w:ascii="Times New Roman"/>
          <w:b/>
          <w:i w:val="false"/>
          <w:color w:val="000000"/>
          <w:sz w:val="24"/>
          <w:lang w:val="pl-Pl"/>
        </w:rPr>
        <w:t>Art. 10.</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W celu tworzenia warunków skutecznego przeciwdziałania przemocy w rodzinie Rada Ministrów przyjmie Krajowy Program Przeciwdziałania Przemocy w Rodzinie, określający szczegółowe działania w zakresie: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zapewnienia ochrony i udzielania pomocy osobom dotkniętym przemocą w rodzinie;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oddziaływań korekcyjno-edukacyjnych wobec osób stosujących przemoc w rodzinie;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podnoszenia świadomości społecznej na temat przyczyn i skutków przemocy w rodzinie oraz promowania metod wychowawczych bez użycia przemocy;</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upowszechniania informacji o możliwościach i formach udzielania pomocy zarówno osobom dotkniętym przemocą, jak i stosującym przemoc w rodzinie.</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 Krajowy Program Przeciwdziałania Przemocy w Rodzinie na szczeblu centralnym realizuje koordynator, o którym mowa w art. 8 pkt 3.</w:t>
      </w:r>
    </w:p>
    <w:p>
      <w:pPr>
        <w:spacing w:before="107"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 Krajowy Program Przeciwdziałania Przemocy w Rodzinie na szczeblu wojewódzkim realizuje koordynator, o którym mowa w art. 7 ust. 1 pkt 3.</w:t>
      </w:r>
    </w:p>
    <w:p>
      <w:pPr>
        <w:spacing w:before="320" w:after="0"/>
        <w:ind w:left="0"/>
        <w:jc w:val="left"/>
        <w:textAlignment w:val="auto"/>
      </w:pPr>
      <w:r>
        <w:rPr>
          <w:rFonts w:ascii="Times New Roman"/>
          <w:b/>
          <w:i w:val="false"/>
          <w:color w:val="000000"/>
          <w:sz w:val="24"/>
          <w:lang w:val="pl-Pl"/>
        </w:rPr>
        <w:t>Art. 10a.</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Tworzy się Zespół Monitorujący do spraw Przeciwdziałania Przemocy w Rodzinie, zwany dalej "Zespołem", jako organ opiniodawczo-doradczy ministra właściwego do spraw zabezpieczenia społecznego.</w:t>
      </w:r>
    </w:p>
    <w:p>
      <w:pPr>
        <w:spacing w:before="107"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 Kadencja Zespołu trwa 3 lata.</w:t>
      </w:r>
    </w:p>
    <w:p>
      <w:pPr>
        <w:spacing w:before="107"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 Do zadań Zespołu należy w szczególności: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inicjowanie i wspieranie działań mających na celu przeciwdziałanie przemocy w rodzinie;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monitorowanie działań w zakresie przeciwdziałania przemocy w rodzinie;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wyrażanie opinii w sprawach dotyczących stosowania ustawy oraz inicjowanie zmian przepisów w zakresie przeciwdziałania przemocy w rodzinie;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wyrażanie opinii w przypadku sporów między organami administracji publicznej a organizacjami pozarządowymi realizującymi zadania w zakresie przeciwdziałania przemocy w rodzinie;</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 wyrażanie opinii w sprawach zadań publicznych w obszarze przeciwdziałania przemocy w rodzinie oraz w sprawach zlecania tych zadań do realizacji przez podmioty wymienione w art. 9 ust. 1;</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 opracowanie standardów pomocy ofiarom przemocy w rodzinie i pracy z osobami stosującymi przemoc w rodzinie;</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tworzenie, we współpracy z podmiotami wymienionymi w art. 9 ust. 1, mechanizmów informowania o standardach udzielania pomocy ofiarom przemocy w rodzinie i pracy z osobami stosującymi przemoc w rodzinie;</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 upowszechnianie wyników monitoringu działań w zakresie przeciwdziałania przemocy w rodzinie.</w:t>
      </w:r>
    </w:p>
    <w:p>
      <w:pPr>
        <w:spacing w:before="320" w:after="0"/>
        <w:ind w:left="0"/>
        <w:jc w:val="left"/>
        <w:textAlignment w:val="auto"/>
      </w:pPr>
      <w:r>
        <w:rPr>
          <w:rFonts w:ascii="Times New Roman"/>
          <w:b/>
          <w:i w:val="false"/>
          <w:color w:val="000000"/>
          <w:sz w:val="24"/>
          <w:lang w:val="pl-Pl"/>
        </w:rPr>
        <w:t>Art. 10b.</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W skład Zespołu minister właściwy do spraw zabezpieczenia społecznego powołuje: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Krajowego Koordynatora Realizacji Krajowego Programu Przeciwdziałania Przemocy w Rodzinie;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siedmiu przedstawicieli organów administracji rządowej i jednostek im podległych lub przez nie nadzorowanych powołanych spośród osób zgłoszonych przez te organy i osób kierujących tymi jednostkami;</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pięciu przedstawicieli jednostek samorządu terytorialnego powołanych spośród osób zgłoszonych przez stronę samorządową w Komisji Wspólnej Rządu i Samorządu Terytorialnego;</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dziesięciu przedstawicieli organizacji pozarządowych, związków i porozumień organizacji pozarządowych oraz kościołów i związków wyznaniowych powołanych spośród osób zgłoszonych przez te podmioty.</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 Minister właściwy do spraw zabezpieczenia społecznego odwołuje członka Zespołu przed upływem kadencji: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 na jego wniosek;</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na wniosek podmiotu, którego jest on przedstawicielem;</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w przypadku skazania prawomocnym wyrokiem za przestępstwo umyślne lub umyślne przestępstwo skarbowe.</w:t>
      </w:r>
    </w:p>
    <w:p>
      <w:pPr>
        <w:spacing w:before="320" w:after="0"/>
        <w:ind w:left="0"/>
        <w:jc w:val="left"/>
        <w:textAlignment w:val="auto"/>
      </w:pPr>
      <w:r>
        <w:rPr>
          <w:rFonts w:ascii="Times New Roman"/>
          <w:b/>
          <w:i w:val="false"/>
          <w:color w:val="000000"/>
          <w:sz w:val="24"/>
          <w:lang w:val="pl-Pl"/>
        </w:rPr>
        <w:t>Art. 10c.</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Przewodniczącym Zespołu jest Krajowy Koordynator Realizacji Krajowego Programu Przeciwdziałania Przemocy w Rodzinie.</w:t>
      </w:r>
    </w:p>
    <w:p>
      <w:pPr>
        <w:spacing w:before="107"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 Posiedzenia Zespołu zwoływane są przez Przewodniczącego Zespołu lub na wniosek co najmniej jednej czwartej liczby członków Zespołu, nie rzadziej jednak niż raz na pół roku.</w:t>
      </w:r>
    </w:p>
    <w:p>
      <w:pPr>
        <w:spacing w:before="107"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 Członkowie Zespołu korzystają ze zwolnień w pracy w celu uczestniczenia w posiedzeniach Zespołu i przysługuje im zwrot kosztów podróży ze środków budżetu państwa z części, której dysponentem jest minister właściwy do spraw zabezpieczenia społecznego.</w:t>
      </w:r>
    </w:p>
    <w:p>
      <w:pPr>
        <w:spacing w:before="320" w:after="0"/>
        <w:ind w:left="0"/>
        <w:jc w:val="left"/>
        <w:textAlignment w:val="auto"/>
      </w:pPr>
      <w:r>
        <w:rPr>
          <w:rFonts w:ascii="Times New Roman"/>
          <w:b/>
          <w:i w:val="false"/>
          <w:color w:val="000000"/>
          <w:sz w:val="24"/>
          <w:lang w:val="pl-Pl"/>
        </w:rPr>
        <w:t>Art. 10d.</w:t>
      </w:r>
    </w:p>
    <w:p>
      <w:pPr>
        <w:spacing w:after="0"/>
        <w:ind w:left="0"/>
        <w:jc w:val="left"/>
        <w:textAlignment w:val="auto"/>
      </w:pPr>
      <w:r>
        <w:rPr>
          <w:rFonts w:ascii="Times New Roman"/>
          <w:b w:val="false"/>
          <w:i w:val="false"/>
          <w:color w:val="000000"/>
          <w:sz w:val="24"/>
          <w:lang w:val="pl-Pl"/>
        </w:rPr>
        <w:t>Organy administracji rządowej oraz podległe im państwowe jednostki organizacyjne, na wniosek przewodniczącego Zespołu, udzielają Zespołowi wszechstronnej pomocy przy wykonywaniu jego zadań, a w szczególności przedstawiają niezbędne informacje lub dokumenty.</w:t>
      </w:r>
    </w:p>
    <w:p>
      <w:pPr>
        <w:spacing w:before="320" w:after="0"/>
        <w:ind w:left="0"/>
        <w:jc w:val="left"/>
        <w:textAlignment w:val="auto"/>
      </w:pPr>
      <w:r>
        <w:rPr>
          <w:rFonts w:ascii="Times New Roman"/>
          <w:b/>
          <w:i w:val="false"/>
          <w:color w:val="000000"/>
          <w:sz w:val="24"/>
          <w:lang w:val="pl-Pl"/>
        </w:rPr>
        <w:t>Art. 10e.</w:t>
      </w:r>
    </w:p>
    <w:p>
      <w:pPr>
        <w:spacing w:after="0"/>
        <w:ind w:left="0"/>
        <w:jc w:val="left"/>
        <w:textAlignment w:val="auto"/>
      </w:pPr>
      <w:r>
        <w:rPr>
          <w:rFonts w:ascii="Times New Roman"/>
          <w:b w:val="false"/>
          <w:i w:val="false"/>
          <w:color w:val="000000"/>
          <w:sz w:val="24"/>
          <w:lang w:val="pl-Pl"/>
        </w:rPr>
        <w:t>Obsługę administracyjno-biurową Zespołu zapewnia urząd obsługujący ministra właściwego do spraw zabezpieczenia społecznego.</w:t>
      </w:r>
    </w:p>
    <w:p>
      <w:pPr>
        <w:spacing w:before="320" w:after="0"/>
        <w:ind w:left="0"/>
        <w:jc w:val="left"/>
        <w:textAlignment w:val="auto"/>
      </w:pPr>
      <w:r>
        <w:rPr>
          <w:rFonts w:ascii="Times New Roman"/>
          <w:b/>
          <w:i w:val="false"/>
          <w:color w:val="000000"/>
          <w:sz w:val="24"/>
          <w:lang w:val="pl-Pl"/>
        </w:rPr>
        <w:t>Art. 10f.</w:t>
      </w:r>
    </w:p>
    <w:p>
      <w:pPr>
        <w:spacing w:after="0"/>
        <w:ind w:left="0"/>
        <w:jc w:val="left"/>
        <w:textAlignment w:val="auto"/>
      </w:pPr>
      <w:r>
        <w:rPr>
          <w:rFonts w:ascii="Times New Roman"/>
          <w:b w:val="false"/>
          <w:i w:val="false"/>
          <w:color w:val="000000"/>
          <w:sz w:val="24"/>
          <w:lang w:val="pl-Pl"/>
        </w:rPr>
        <w:t>Minister właściwy do spraw zabezpieczenia społecznego określi, w drodze rozporządzenia, tryb powoływania członków Zespołu oraz organizację i tryb działania Zespołu, a także zasady uczestnictwa w jego pracach, uwzględniając konieczność zapewnienia odpowiedniego poziomu wykonywania przez Zespół zadań.</w:t>
      </w:r>
    </w:p>
    <w:p>
      <w:pPr>
        <w:spacing w:before="320" w:after="0"/>
        <w:ind w:left="0"/>
        <w:jc w:val="left"/>
        <w:textAlignment w:val="auto"/>
      </w:pPr>
      <w:r>
        <w:rPr>
          <w:rFonts w:ascii="Times New Roman"/>
          <w:b/>
          <w:i w:val="false"/>
          <w:color w:val="000000"/>
          <w:sz w:val="24"/>
          <w:lang w:val="pl-Pl"/>
        </w:rPr>
        <w:t>Art. 11.</w:t>
      </w:r>
    </w:p>
    <w:p>
      <w:pPr>
        <w:spacing w:after="0"/>
        <w:ind w:left="0"/>
        <w:jc w:val="left"/>
        <w:textAlignment w:val="auto"/>
      </w:pPr>
      <w:r>
        <w:rPr>
          <w:rFonts w:ascii="Times New Roman"/>
          <w:b w:val="false"/>
          <w:i w:val="false"/>
          <w:color w:val="000000"/>
          <w:sz w:val="24"/>
          <w:lang w:val="pl-Pl"/>
        </w:rPr>
        <w:t>Rada Ministrów składa corocznie Sejmowi i Senatowi Rzeczypospolitej Polskiej, w terminie do dnia 30 września, sprawozdanie z realizacji Krajowego Programu Przeciwdziałania Przemocy w Rodzinie.</w:t>
      </w:r>
    </w:p>
    <w:p>
      <w:pPr>
        <w:spacing w:before="320" w:after="0"/>
        <w:ind w:left="0"/>
        <w:jc w:val="left"/>
        <w:textAlignment w:val="auto"/>
      </w:pPr>
      <w:r>
        <w:rPr>
          <w:rFonts w:ascii="Times New Roman"/>
          <w:b/>
          <w:i w:val="false"/>
          <w:color w:val="000000"/>
          <w:sz w:val="24"/>
          <w:lang w:val="pl-Pl"/>
        </w:rPr>
        <w:t>Art. 11a.</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Jeżeli członek rodziny wspólnie zajmujący mieszkanie, swoim zachowaniem polegającym na stosowaniu przemocy w rodzinie czyni szczególnie uciążliwym wspólne zamieszkiwanie, osoba dotknięta przemocą może żądać, aby sąd zobowiązał go do opuszczenia mieszkania.</w:t>
      </w:r>
    </w:p>
    <w:p>
      <w:pPr>
        <w:spacing w:before="107"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 Sąd rozpoznaje sprawę w trybie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17 listopada 1964 r. - Kodeks postępowania cywilnego (Dz. U. z 2014 r. poz. 101, z późn. zm.) o postępowaniu nieprocesowym. Postanowienie zapada po przeprowadzeniu rozprawy, która powinna odbyć się w terminie jednego miesiąca od dnia wpływu wniosku. Staje się ono wykonalne z chwilą ogłoszenia i może być zmienione lub uchylone w razie zmiany okoliczności.</w:t>
      </w:r>
    </w:p>
    <w:p>
      <w:pPr>
        <w:spacing w:before="107"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 Do wykonania obowiązku orzeczonego na podstawie ust. 1 stosuje się odpowiednio przepisy o egzekucji obowiązku opróżnienia lokalu służącego zaspokajaniu potrzeb mieszkaniowych dłużnika.</w:t>
      </w:r>
    </w:p>
    <w:p>
      <w:pPr>
        <w:spacing w:before="320" w:after="0"/>
        <w:ind w:left="0"/>
        <w:jc w:val="left"/>
        <w:textAlignment w:val="auto"/>
      </w:pPr>
      <w:r>
        <w:rPr>
          <w:rFonts w:ascii="Times New Roman"/>
          <w:b/>
          <w:i w:val="false"/>
          <w:color w:val="000000"/>
          <w:sz w:val="24"/>
          <w:lang w:val="pl-Pl"/>
        </w:rPr>
        <w:t>Art. 12.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Osoby, które w związku z wykonywaniem swoich obowiązków służbowych lub zawodowych powzięły podejrzenie o popełnieniu ściganego z urzędu przestępstwa z użyciem przemocy w rodzinie, niezwłocznie zawiadamiają o tym Policję lub prokuratora.</w:t>
      </w:r>
    </w:p>
    <w:p>
      <w:pPr>
        <w:spacing w:before="107"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 Osoby będące świadkami przemocy w rodzinie powinny zawiadomić o tym Policję, prokuratora lub inny podmiot działający na rzecz przeciwdziałania przemocy w rodzinie.</w:t>
      </w:r>
    </w:p>
    <w:p>
      <w:pPr>
        <w:spacing w:before="320" w:after="0"/>
        <w:ind w:left="0"/>
        <w:jc w:val="left"/>
        <w:textAlignment w:val="auto"/>
      </w:pPr>
      <w:r>
        <w:rPr>
          <w:rFonts w:ascii="Times New Roman"/>
          <w:b/>
          <w:i w:val="false"/>
          <w:color w:val="000000"/>
          <w:sz w:val="24"/>
          <w:lang w:val="pl-Pl"/>
        </w:rPr>
        <w:t>Art. 12a.</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W razie bezpośredniego zagrożenia życia lub zdrowia dziecka w związku z przemocą w rodzinie pracownik socjalny wykonujący obowiązki służbowe ma prawo odebrać dziecko z rodziny i umieścić je u innej niezamieszkującej wspólnie osoby najbliższej, w rozumieniu </w:t>
      </w:r>
      <w:r>
        <w:rPr>
          <w:rFonts w:ascii="Times New Roman"/>
          <w:b w:val="false"/>
          <w:i w:val="false"/>
          <w:color w:val="1b1b1b"/>
          <w:sz w:val="24"/>
          <w:lang w:val="pl-Pl"/>
        </w:rPr>
        <w:t>art. 115 § 11</w:t>
      </w:r>
      <w:r>
        <w:rPr>
          <w:rFonts w:ascii="Times New Roman"/>
          <w:b w:val="false"/>
          <w:i w:val="false"/>
          <w:color w:val="000000"/>
          <w:sz w:val="24"/>
          <w:lang w:val="pl-Pl"/>
        </w:rPr>
        <w:t xml:space="preserve">  ustawy z dnia 6 czerwca 1997 r. - Kodeks karny, w rodzinie zastępczej lub w placówce opiekuńczo-wychowawczej.</w:t>
      </w:r>
    </w:p>
    <w:p>
      <w:pPr>
        <w:spacing w:before="107"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 Tryb umieszczania dzieci w rodzinie zastępczej lub w placówce opiekuńczo-wychowawczej regulują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9 czerwca 2011 r. o wspieraniu rodziny i systemie pieczy zastępczej (Dz. U. z 2015 r. poz. 332, 1045 i 1199).</w:t>
      </w:r>
    </w:p>
    <w:p>
      <w:pPr>
        <w:spacing w:before="107"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 Decyzję, o której mowa w ust. 1, pracownik socjalny podejmuje wspólnie z funkcjonariuszem Policji, a także z lekarzem, lub ratownikiem medycznym, lub pielęgniarką. Przepisy </w:t>
      </w:r>
      <w:r>
        <w:rPr>
          <w:rFonts w:ascii="Times New Roman"/>
          <w:b w:val="false"/>
          <w:i w:val="false"/>
          <w:color w:val="1b1b1b"/>
          <w:sz w:val="24"/>
          <w:lang w:val="pl-Pl"/>
        </w:rPr>
        <w:t>art. 598</w:t>
      </w:r>
      <w:r>
        <w:rPr>
          <w:rFonts w:ascii="Times New Roman"/>
          <w:b w:val="false"/>
          <w:i w:val="false"/>
          <w:color w:val="1b1b1b"/>
          <w:sz w:val="24"/>
          <w:vertAlign w:val="superscript"/>
          <w:lang w:val="pl-Pl"/>
        </w:rPr>
        <w:t>10</w:t>
      </w:r>
      <w:r>
        <w:rPr>
          <w:rFonts w:ascii="Times New Roman"/>
          <w:b w:val="false"/>
          <w:i w:val="false"/>
          <w:color w:val="000000"/>
          <w:sz w:val="24"/>
          <w:lang w:val="pl-Pl"/>
        </w:rPr>
        <w:t xml:space="preserve"> , </w:t>
      </w:r>
      <w:r>
        <w:rPr>
          <w:rFonts w:ascii="Times New Roman"/>
          <w:b w:val="false"/>
          <w:i w:val="false"/>
          <w:color w:val="1b1b1b"/>
          <w:sz w:val="24"/>
          <w:lang w:val="pl-Pl"/>
        </w:rPr>
        <w:t>art. 598</w:t>
      </w:r>
      <w:r>
        <w:rPr>
          <w:rFonts w:ascii="Times New Roman"/>
          <w:b w:val="false"/>
          <w:i w:val="false"/>
          <w:color w:val="1b1b1b"/>
          <w:sz w:val="24"/>
          <w:vertAlign w:val="superscript"/>
          <w:lang w:val="pl-Pl"/>
        </w:rPr>
        <w:t>11</w:t>
      </w:r>
      <w:r>
        <w:rPr>
          <w:rFonts w:ascii="Times New Roman"/>
          <w:b w:val="false"/>
          <w:i w:val="false"/>
          <w:color w:val="1b1b1b"/>
          <w:sz w:val="24"/>
          <w:lang w:val="pl-Pl"/>
        </w:rPr>
        <w:t xml:space="preserve"> § 3</w:t>
      </w:r>
      <w:r>
        <w:rPr>
          <w:rFonts w:ascii="Times New Roman"/>
          <w:b w:val="false"/>
          <w:i w:val="false"/>
          <w:color w:val="000000"/>
          <w:sz w:val="24"/>
          <w:lang w:val="pl-Pl"/>
        </w:rPr>
        <w:t xml:space="preserve">  i </w:t>
      </w:r>
      <w:r>
        <w:rPr>
          <w:rFonts w:ascii="Times New Roman"/>
          <w:b w:val="false"/>
          <w:i w:val="false"/>
          <w:color w:val="1b1b1b"/>
          <w:sz w:val="24"/>
          <w:lang w:val="pl-Pl"/>
        </w:rPr>
        <w:t>art. 598</w:t>
      </w:r>
      <w:r>
        <w:rPr>
          <w:rFonts w:ascii="Times New Roman"/>
          <w:b w:val="false"/>
          <w:i w:val="false"/>
          <w:color w:val="1b1b1b"/>
          <w:sz w:val="24"/>
          <w:vertAlign w:val="superscript"/>
          <w:lang w:val="pl-Pl"/>
        </w:rPr>
        <w:t>12</w:t>
      </w:r>
      <w:r>
        <w:rPr>
          <w:rFonts w:ascii="Times New Roman"/>
          <w:b w:val="false"/>
          <w:i w:val="false"/>
          <w:color w:val="1b1b1b"/>
          <w:sz w:val="24"/>
          <w:lang w:val="pl-Pl"/>
        </w:rPr>
        <w:t xml:space="preserve"> § 1</w:t>
      </w:r>
      <w:r>
        <w:rPr>
          <w:rFonts w:ascii="Times New Roman"/>
          <w:b w:val="false"/>
          <w:i w:val="false"/>
          <w:color w:val="000000"/>
          <w:sz w:val="24"/>
          <w:lang w:val="pl-Pl"/>
        </w:rPr>
        <w:t xml:space="preserve">  zdanie pierwsze ustawy z dnia 17 listopada 1964 r. - Kodeks postępowania cywilnego stosuje się odpowiednio.</w:t>
      </w:r>
    </w:p>
    <w:p>
      <w:pPr>
        <w:spacing w:before="107"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 xml:space="preserve"> Pracownik socjalny ma obowiązek niezwłocznego powiadomienia sądu opiekuńczego, nie później niż w ciągu 24 godzin, o odebraniu dziecka z rodziny i umieszczeniu go u niezamieszkującej wspólnie osoby najbliższej, w rodzinie zastępczej lub w placówce opiekuńczo-wychowawczej.</w:t>
      </w:r>
    </w:p>
    <w:p>
      <w:pPr>
        <w:spacing w:before="107"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 xml:space="preserve"> Do umieszczenia dziecka u osoby najbliższej niezamieszkującej wspólnie stosuje się odpowiednio przepisy dotyczące umieszczenia dziecka w rodzinie zastępczej lub w placówce opiekuńczo-wychowawczej.</w:t>
      </w:r>
    </w:p>
    <w:p>
      <w:pPr>
        <w:spacing w:before="107"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 xml:space="preserve"> Minister właściwy do spraw wewnętrznych w porozumieniu z ministrem właściwym do spraw zabezpieczenia społecznego określi, w drodze rozporządzenia, procedurę postępowania Policji przy wykonywaniu czynności, o których mowa w ust. 1 i 3, oraz sposób dokumentowania przeprowadzonych przez Policję czynności, uwzględniając konieczność udzielenia dzieciom skutecznej pomocy.</w:t>
      </w:r>
    </w:p>
    <w:p>
      <w:pPr>
        <w:spacing w:before="320" w:after="0"/>
        <w:ind w:left="0"/>
        <w:jc w:val="left"/>
        <w:textAlignment w:val="auto"/>
      </w:pPr>
      <w:r>
        <w:rPr>
          <w:rFonts w:ascii="Times New Roman"/>
          <w:b/>
          <w:i w:val="false"/>
          <w:color w:val="000000"/>
          <w:sz w:val="24"/>
          <w:lang w:val="pl-Pl"/>
        </w:rPr>
        <w:t>Art. 12b.</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Rodzicom, opiekunom prawnym lub faktycznym przysługuje zażalenie do sądu opiekuńczego na odebranie dziecka, o którym mowa w art. 12a. W zażaleniu można domagać się zbadania zasadności i legalności odebrania dziecka oraz prawidłowości jego dokonania.</w:t>
      </w:r>
    </w:p>
    <w:p>
      <w:pPr>
        <w:spacing w:before="107"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 Zażalenie może być wniesione za pośrednictwem pracownika socjalnego lub funkcjonariusza Policji, którzy dokonali odebrania dziecka. W takim przypadku zażalenie podlega niezwłocznemu przekazaniu do sądu opiekuńczego.</w:t>
      </w:r>
    </w:p>
    <w:p>
      <w:pPr>
        <w:spacing w:before="107"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 Sąd rozpatruje zażalenie niezwłocznie, nie później jednak niż w ciągu 24 godzin. W razie uznania bezzasadności lub nielegalności odebrania dziecka sąd zarządza natychmiastowe przekazanie dziecka rodzicom, opiekunom prawnym lub faktycznym, od których dziecko zostało odebrane.</w:t>
      </w:r>
    </w:p>
    <w:p>
      <w:pPr>
        <w:spacing w:before="107"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 xml:space="preserve"> W przypadku stwierdzenia bezzasadności, nielegalności lub nieprawidłowości odebrania dziecka sąd zawiadamia o tym przełożonych osób, które dokonały odebrania.</w:t>
      </w:r>
    </w:p>
    <w:p>
      <w:pPr>
        <w:spacing w:before="320" w:after="0"/>
        <w:ind w:left="0"/>
        <w:jc w:val="left"/>
        <w:textAlignment w:val="auto"/>
      </w:pPr>
      <w:r>
        <w:rPr>
          <w:rFonts w:ascii="Times New Roman"/>
          <w:b/>
          <w:i w:val="false"/>
          <w:color w:val="000000"/>
          <w:sz w:val="24"/>
          <w:lang w:val="pl-Pl"/>
        </w:rPr>
        <w:t>Art. 12c.</w:t>
      </w:r>
    </w:p>
    <w:p>
      <w:pPr>
        <w:spacing w:after="0"/>
        <w:ind w:left="0"/>
        <w:jc w:val="left"/>
        <w:textAlignment w:val="auto"/>
      </w:pPr>
      <w:r>
        <w:rPr>
          <w:rFonts w:ascii="Times New Roman"/>
          <w:b w:val="false"/>
          <w:i w:val="false"/>
          <w:color w:val="000000"/>
          <w:sz w:val="24"/>
          <w:lang w:val="pl-Pl"/>
        </w:rPr>
        <w:t>O prawie do złożenia zażalenia, wraz ze wskazaniem sądu opiekuńczego właściwego miejscowo do jego rozpatrzenia, pracownik socjalny lub funkcjonariusz Policji poucza rodziców, opiekunów prawnych lub faktycznych dziecka. Pouczenie to należy wręczyć na piśmie.</w:t>
      </w:r>
    </w:p>
    <w:p>
      <w:pPr>
        <w:spacing w:before="320" w:after="0"/>
        <w:ind w:left="0"/>
        <w:jc w:val="left"/>
        <w:textAlignment w:val="auto"/>
      </w:pPr>
      <w:r>
        <w:rPr>
          <w:rFonts w:ascii="Times New Roman"/>
          <w:b/>
          <w:i w:val="false"/>
          <w:color w:val="000000"/>
          <w:sz w:val="24"/>
          <w:lang w:val="pl-Pl"/>
        </w:rPr>
        <w:t>Art. 12d.</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 W przypadku gdy wniosek kuratora zawodowego o zarządzenie wykonania warunkowo zawieszonej kary pozbawienia wolności lub odwołanie warunkowego przedterminowego zwolnienia dotyczy skazanego za przestępstwo popełnione z użyciem przemocy lub groźby bezprawnej wobec członka rodziny, który w okresie próby rażąco naruszył porządek prawny, ponownie używając przemocy lub groźby bezprawnej wobec członka rodziny, sąd właściwy do rozpoznania wniosku zarządza zatrzymanie i przymusowe doprowadzenie skazanego na posiedzenie w przedmiocie rozpoznania wniosku.</w:t>
      </w:r>
    </w:p>
    <w:p>
      <w:pPr>
        <w:spacing w:before="107"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 Zatrzymanemu, na jego żądanie, należy niezwłocznie umożliwić nawiązanie w dostępnej formie kontaktu z adwokatem, a także bezpośrednią z nim rozmowę.</w:t>
      </w:r>
    </w:p>
    <w:p>
      <w:pPr>
        <w:spacing w:before="107"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 Wydane przez sąd postanowienie o zarządzeniu wykonania kary albo o odwołaniu warunkowego przedterminowego zwolnienia podlega wykonaniu z chwilą jego wydania; sąd, który wydał postanowienie, albo sąd właściwy do rozpoznania zażalenia może wstrzymać wykonanie postanowienia.</w:t>
      </w:r>
    </w:p>
    <w:p>
      <w:pPr>
        <w:spacing w:before="320" w:after="0"/>
        <w:ind w:left="0"/>
        <w:jc w:val="left"/>
        <w:textAlignment w:val="auto"/>
      </w:pPr>
      <w:r>
        <w:rPr>
          <w:rFonts w:ascii="Times New Roman"/>
          <w:b/>
          <w:i w:val="false"/>
          <w:color w:val="000000"/>
          <w:sz w:val="24"/>
          <w:lang w:val="pl-Pl"/>
        </w:rPr>
        <w:t>Art. 13.</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r>
        <w:rPr>
          <w:rFonts w:ascii="Times New Roman"/>
          <w:b/>
          <w:i w:val="false"/>
          <w:color w:val="000000"/>
          <w:sz w:val="24"/>
          <w:lang w:val="pl-Pl"/>
        </w:rPr>
        <w:t>Art. 14.</w:t>
      </w:r>
    </w:p>
    <w:p>
      <w:pPr>
        <w:spacing w:after="0"/>
        <w:ind w:left="0"/>
        <w:jc w:val="left"/>
        <w:textAlignment w:val="auto"/>
      </w:pPr>
      <w:r>
        <w:rPr>
          <w:rFonts w:ascii="Times New Roman"/>
          <w:b w:val="false"/>
          <w:i w:val="false"/>
          <w:color w:val="000000"/>
          <w:sz w:val="24"/>
          <w:lang w:val="pl-Pl"/>
        </w:rPr>
        <w:t>(uchylony)</w:t>
      </w:r>
    </w:p>
    <w:p>
      <w:pPr>
        <w:spacing w:before="320" w:after="0"/>
        <w:ind w:left="0"/>
        <w:jc w:val="left"/>
        <w:textAlignment w:val="auto"/>
      </w:pPr>
      <w:r>
        <w:rPr>
          <w:rFonts w:ascii="Times New Roman"/>
          <w:b/>
          <w:i w:val="false"/>
          <w:color w:val="000000"/>
          <w:sz w:val="24"/>
          <w:lang w:val="pl-Pl"/>
        </w:rPr>
        <w:t>Art. 15.</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6 czerwca 1997 r. - Kodeks karny (Dz. U. Nr 88, poz. 553, z późn. zm.) wprowadza się następujące zmiany: (zmiany pominięte).</w:t>
      </w:r>
    </w:p>
    <w:p>
      <w:pPr>
        <w:spacing w:before="320" w:after="0"/>
        <w:ind w:left="0"/>
        <w:jc w:val="left"/>
        <w:textAlignment w:val="auto"/>
      </w:pPr>
      <w:r>
        <w:rPr>
          <w:rFonts w:ascii="Times New Roman"/>
          <w:b/>
          <w:i w:val="false"/>
          <w:color w:val="000000"/>
          <w:sz w:val="24"/>
          <w:lang w:val="pl-Pl"/>
        </w:rPr>
        <w:t>Art. 16.</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12 marca 2004 r. o pomocy społecznej (Dz. U. Nr 64, poz. 593, z późn. zm.) wprowadza się następujące zmiany: (zmiany pominięte).</w:t>
      </w:r>
    </w:p>
    <w:p>
      <w:pPr>
        <w:spacing w:before="320" w:after="0"/>
        <w:ind w:left="0"/>
        <w:jc w:val="left"/>
        <w:textAlignment w:val="auto"/>
      </w:pPr>
      <w:r>
        <w:rPr>
          <w:rFonts w:ascii="Times New Roman"/>
          <w:b/>
          <w:i w:val="false"/>
          <w:color w:val="000000"/>
          <w:sz w:val="24"/>
          <w:lang w:val="pl-Pl"/>
        </w:rPr>
        <w:t>Art. 17.</w:t>
      </w:r>
    </w:p>
    <w:p>
      <w:pPr>
        <w:spacing w:after="0"/>
        <w:ind w:left="0"/>
        <w:jc w:val="left"/>
        <w:textAlignment w:val="auto"/>
      </w:pPr>
      <w:r>
        <w:rPr>
          <w:rFonts w:ascii="Times New Roman"/>
          <w:b w:val="false"/>
          <w:i w:val="false"/>
          <w:color w:val="000000"/>
          <w:sz w:val="24"/>
          <w:lang w:val="pl-Pl"/>
        </w:rPr>
        <w:t>Ustawa wchodzi w życie po upływie 2 miesięcy od dnia ogłoszenia, z wyjątkiem art. 6 ust. 4 i 5, który wchodzi w życie z dniem 1 stycznia 2006 r.</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Open Sans" w:hAnsi="Open Sans" w:eastAsia="Open Sans" w:cs="Open Sans"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Open Sans" w:hAnsi="Open Sans" w:eastAsia="Open Sans" w:cs="Open Sans"/>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Open Sans" w:hAnsi="Open Sans" w:eastAsia="Open Sans" w:cs="Open Sans"/>
      <w:b/>
      <w:color w:val="000000" w:themeColor="text1"/>
      <w:sz w:val="42"/>
    </w:rPr>
  </w:style>
  <w:style w:type="paragraph" w:styleId="TitleStyle">
    <w:name w:val="TitleStyle"/>
    <w:pPr>
      <w:spacing w:line="240" w:lineRule="auto"/>
      <w:jc w:val="left"/>
    </w:pPr>
    <w:rPr>
      <w:rFonts w:ascii="Open Sans" w:hAnsi="Open Sans" w:eastAsia="Open Sans" w:cs="Open Sans"/>
      <w:b/>
      <w:color w:val="000000" w:themeColor="text1"/>
      <w:sz w:val="32"/>
    </w:rPr>
  </w:style>
  <w:style w:type="paragraph" w:styleId="TitleCenterStyle">
    <w:name w:val="TitleCenterStyle"/>
    <w:pPr>
      <w:spacing w:line="240" w:lineRule="auto"/>
      <w:jc w:val="center"/>
    </w:pPr>
    <w:rPr>
      <w:rFonts w:ascii="Open Sans" w:hAnsi="Open Sans" w:eastAsia="Open Sans" w:cs="Open Sans"/>
      <w:b/>
      <w:color w:val="000000" w:themeColor="text1"/>
      <w:sz w:val="32"/>
    </w:rPr>
  </w:style>
  <w:style w:type="paragraph" w:styleId="NormalStyle">
    <w:name w:val="NormalStyle"/>
    <w:pPr>
      <w:spacing w:after="0" w:line="240" w:lineRule="auto"/>
      <w:jc w:val="left"/>
    </w:pPr>
    <w:rPr>
      <w:rFonts w:ascii="Open Sans" w:hAnsi="Open Sans" w:eastAsia="Open Sans" w:cs="Open Sans"/>
      <w:color w:val="000000" w:themeColor="text1"/>
      <w:sz w:val="24"/>
    </w:rPr>
  </w:style>
  <w:style w:type="paragraph" w:styleId="NormalSpacingStyle">
    <w:name w:val="NormalSpacingStyle"/>
    <w:pPr>
      <w:spacing w:line="240" w:lineRule="auto"/>
      <w:jc w:val="left"/>
    </w:pPr>
    <w:rPr>
      <w:rFonts w:ascii="Open Sans" w:hAnsi="Open Sans" w:eastAsia="Open Sans" w:cs="Open Sans"/>
      <w:color w:val="000000" w:themeColor="text1"/>
      <w:sz w:val="24"/>
    </w:rPr>
  </w:style>
  <w:style w:type="paragraph" w:styleId="BoldStyle">
    <w:name w:val="BoldStyle"/>
    <w:pPr>
      <w:spacing w:after="0" w:line="240" w:lineRule="auto"/>
      <w:jc w:val="left"/>
    </w:pPr>
    <w:rPr>
      <w:rFonts w:ascii="Open Sans" w:hAnsi="Open Sans" w:eastAsia="Open Sans" w:cs="Open Sans"/>
      <w:b/>
      <w:color w:val="000000" w:themeColor="text1"/>
      <w:sz w:val="24"/>
    </w:rPr>
  </w:style>
  <w:style w:type="paragraph" w:styleId="DocDefaults">
    <w:name w:val="DocDefaults"/>
    <w:pPr>
      <w:spacing w:after="200" w:line="276" w:lineRule="auto"/>
    </w:pPr>
    <w:rPr>
      <w:rFonts w:ascii="Open Sans" w:hAnsi="Open Sans" w:eastAsia="Open Sans" w:cs="Open Sans"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