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6ee66" w14:textId="6e6ee66">
      <w:pPr>
        <w:pStyle w:val="TitleStyle"/>
        <w15:collapsed w:val="false"/>
      </w:pPr>
      <w:r>
        <w:t>Dodatki mieszkaniowe.</w:t>
      </w:r>
    </w:p>
    <w:p>
      <w:pPr>
        <w:pStyle w:val="NormalStyle"/>
      </w:pPr>
      <w:r>
        <w:t>Dz.U.2013.966 t.j. z dnia 2013.08.26</w:t>
      </w:r>
    </w:p>
    <w:p>
      <w:pPr>
        <w:pStyle w:val="NormalStyle"/>
      </w:pPr>
      <w:r>
        <w:t>Status: Akt obowiązujący </w:t>
      </w:r>
    </w:p>
    <w:p>
      <w:pPr>
        <w:pStyle w:val="NormalStyle"/>
      </w:pPr>
      <w:r>
        <w:t>Wersja od: 31 sierpnia 2016 r. </w:t>
      </w:r>
    </w:p>
    <w:p>
      <w:pPr>
        <w:spacing w:before="146" w:after="0"/>
        <w:ind w:left="0"/>
        <w:jc w:val="center"/>
        <w:textAlignment w:val="auto"/>
      </w:pPr>
      <w:r>
        <w:rPr>
          <w:rFonts w:ascii="Times New Roman"/>
          <w:b/>
          <w:i w:val="false"/>
          <w:color w:val="000000"/>
          <w:sz w:val="36"/>
          <w:lang w:val="pl-Pl"/>
        </w:rPr>
        <w:t>USTAWA</w:t>
      </w:r>
    </w:p>
    <w:p>
      <w:pPr>
        <w:spacing w:before="80" w:after="0"/>
        <w:ind w:left="0"/>
        <w:jc w:val="center"/>
        <w:textAlignment w:val="auto"/>
      </w:pPr>
      <w:r>
        <w:rPr>
          <w:rFonts w:ascii="Times New Roman"/>
          <w:b w:val="false"/>
          <w:i w:val="false"/>
          <w:color w:val="000000"/>
          <w:sz w:val="30"/>
          <w:lang w:val="pl-Pl"/>
        </w:rPr>
        <w:t>z dnia 21 czerwca 2001 r.</w:t>
      </w:r>
    </w:p>
    <w:p>
      <w:pPr>
        <w:spacing w:before="80" w:after="0"/>
        <w:ind w:left="0"/>
        <w:jc w:val="center"/>
        <w:textAlignment w:val="auto"/>
      </w:pPr>
      <w:r>
        <w:rPr>
          <w:rFonts w:ascii="Times New Roman"/>
          <w:b/>
          <w:i w:val="false"/>
          <w:color w:val="000000"/>
          <w:sz w:val="30"/>
          <w:lang w:val="pl-Pl"/>
        </w:rPr>
        <w:t>o dodatkach mieszkaniowych</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1 </w:t>
      </w:r>
    </w:p>
    <w:p>
      <w:pPr>
        <w:spacing w:before="25" w:after="0"/>
        <w:ind w:left="0"/>
        <w:jc w:val="center"/>
        <w:textAlignment w:val="auto"/>
      </w:pPr>
      <w:r>
        <w:rPr>
          <w:rFonts w:ascii="Times New Roman"/>
          <w:b/>
          <w:i w:val="false"/>
          <w:color w:val="000000"/>
          <w:sz w:val="24"/>
          <w:lang w:val="pl-Pl"/>
        </w:rPr>
        <w:t>Przepisy ogólne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w:t>
      </w:r>
      <w:r>
        <w:rPr>
          <w:rFonts w:ascii="Times New Roman"/>
          <w:b/>
          <w:i w:val="false"/>
          <w:color w:val="000000"/>
          <w:sz w:val="24"/>
          <w:lang w:val="pl-Pl"/>
        </w:rPr>
        <w:t xml:space="preserve"> [Przedmiot ustawy]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Ustawa reguluje zasady i tryb przyznawania, ustalania wysokości i wypłacania dodatków mieszkaniowych oraz właściwość organów w tych sprawach.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w:t>
      </w:r>
      <w:r>
        <w:rPr>
          <w:rFonts w:ascii="Times New Roman"/>
          <w:b/>
          <w:i w:val="false"/>
          <w:color w:val="000000"/>
          <w:sz w:val="24"/>
          <w:lang w:val="pl-Pl"/>
        </w:rPr>
        <w:t xml:space="preserve"> [Osoby uprawnione do dodatku mieszkaniowego]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Dodatek mieszkaniowy, z zastrzeżeniem art. 7 ust. 3 i 4, przysługuje: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najemcom oraz podnajemcom lokali mieszkalnych;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osobom mieszkającym w lokalach mieszkalnych, do których przysługuje im spółdzielcze prawo do lokalu mieszkalnego;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osobom mieszkającym w lokalach mieszkalnych znajdujących się w budynkach stanowiących ich własność i właścicielom samodzielnych lokali mieszkalnych;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innym osobom mającym tytuł prawny do zajmowanego lokalu mieszkalnego i ponoszącym wydatki związane z jego zajmowaniem;</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osobom zajmującym lokal mieszkalny bez tytułu prawnego, oczekującym na przysługujący im lokal zamienny albo socjalny.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Dodatek mieszkaniowy przysługuje na podstawie tylko jednego z tytułów wymienionych w ust.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w:t>
      </w:r>
      <w:r>
        <w:rPr>
          <w:rFonts w:ascii="Times New Roman"/>
          <w:b/>
          <w:i w:val="false"/>
          <w:color w:val="000000"/>
          <w:sz w:val="24"/>
          <w:lang w:val="pl-Pl"/>
        </w:rPr>
        <w:t xml:space="preserve"> [Kryterium dochodowe przyznania dodatku mieszkaniowego]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Dodatek mieszkaniowy przysługuje osobom, o których mowa w art. 2 ust. 1, jeżeli średni miesięczny dochód na jednego członka gospodarstwa domowego w okresie 3 miesięcy poprzedzających datę złożenia wniosku o przyznanie dodatku mieszkaniowego nie przekracza 175% kwoty najniższej emerytury w gospodarstwie jednoosobowym i 125% tej kwoty w gospodarstwie wieloosobowym, obowiązującej w dniu złożenia wniosku, z zastrzeżeniem art. 6 ust. 8.</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Przy wydawaniu decyzji o przyznaniu dodatku mieszkaniowego uwzględnia się kwotę najniższej emerytury obowiązującą w dniu złożenia wniosku, ogłaszaną przez Prezesa Zakładu Ubezpieczeń Społecznych w Dzienniku Urzędowym Rzeczypospolitej Polskiej "Monitor Polski", na podstawie </w:t>
      </w:r>
      <w:r>
        <w:rPr>
          <w:rFonts w:ascii="Times New Roman"/>
          <w:b w:val="false"/>
          <w:i w:val="false"/>
          <w:color w:val="1b1b1b"/>
          <w:sz w:val="24"/>
          <w:lang w:val="pl-Pl"/>
        </w:rPr>
        <w:t>art. 94 ust. 2 pkt 1 lit. a</w:t>
      </w:r>
      <w:r>
        <w:rPr>
          <w:rFonts w:ascii="Times New Roman"/>
          <w:b w:val="false"/>
          <w:i w:val="false"/>
          <w:color w:val="000000"/>
          <w:sz w:val="24"/>
          <w:lang w:val="pl-Pl"/>
        </w:rPr>
        <w:t xml:space="preserve"> ustawy z dnia 17 grudnia 1998 r. o emeryturach i rentach z Funduszu Ubezpieczeń Społecznych (Dz. U. z 2009 r. Nr 153, poz. 1227, z późn. zm.).</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0"/>
          <w:vertAlign w:val="superscript"/>
          <w:lang w:val="pl-Pl"/>
        </w:rPr>
        <w:t>1</w:t>
      </w:r>
      <w:r>
        <w:rPr>
          <w:rFonts w:ascii="Times New Roman"/>
          <w:b w:val="false"/>
          <w:i w:val="false"/>
          <w:color w:val="000000"/>
          <w:sz w:val="24"/>
          <w:lang w:val="pl-Pl"/>
        </w:rPr>
        <w:t xml:space="preserve">  </w:t>
      </w:r>
      <w:r>
        <w:rPr>
          <w:rFonts w:ascii="Times New Roman"/>
          <w:b w:val="false"/>
          <w:i w:val="false"/>
          <w:color w:val="000000"/>
          <w:sz w:val="24"/>
          <w:lang w:val="pl-Pl"/>
        </w:rPr>
        <w:t xml:space="preserve"> Za dochód uważa się wszelkie przychody po odliczeniu kosztów ich uzyskania oraz po odliczeniu składek na ubezpieczenie emerytalne i rentowe oraz na ubezpieczenie chorobowe, określonych w </w:t>
      </w:r>
      <w:r>
        <w:rPr>
          <w:rFonts w:ascii="Times New Roman"/>
          <w:b w:val="false"/>
          <w:i w:val="false"/>
          <w:color w:val="1b1b1b"/>
          <w:sz w:val="24"/>
          <w:lang w:val="pl-Pl"/>
        </w:rPr>
        <w:t>przepisach</w:t>
      </w:r>
      <w:r>
        <w:rPr>
          <w:rFonts w:ascii="Times New Roman"/>
          <w:b w:val="false"/>
          <w:i w:val="false"/>
          <w:color w:val="000000"/>
          <w:sz w:val="24"/>
          <w:lang w:val="pl-Pl"/>
        </w:rPr>
        <w:t xml:space="preserve"> o systemie ubezpieczeń społecznych, chyba że zostały już zaliczone do kosztów uzyskania przychodu. Do dochodu nie wlicza się świadczeń pomocy materialnej dla uczniów, dodatków dla sierot zupełnych, jednorazowych zapomóg z tytułu urodzenia się dziecka, dodatku z tytułu urodzenia dziecka, pomocy w zakresie dożywiania, zasiłków pielęgnacyjnych, zasiłków okresowych z pomocy społecznej, jednorazowych świadczeń pieniężnych i świadczeń w naturze z pomocy społecznej, dodatku mieszkaniowego, dodatku energetycznego, zapomogi pieniężnej, o której mowa w przepisach o zapomodze pieniężnej dla niektórych emerytów, rencistów i osób pobierających świadczenie przedemerytalne albo zasiłek przedemerytalny w 2007 r., świadczenia pieniężnego i pomocy pieniężnej, o których mowa w przepisach </w:t>
      </w:r>
      <w:r>
        <w:rPr>
          <w:rFonts w:ascii="Times New Roman"/>
          <w:b w:val="false"/>
          <w:i w:val="false"/>
          <w:color w:val="1b1b1b"/>
          <w:sz w:val="24"/>
          <w:lang w:val="pl-Pl"/>
        </w:rPr>
        <w:t>ustawy</w:t>
      </w:r>
      <w:r>
        <w:rPr>
          <w:rFonts w:ascii="Times New Roman"/>
          <w:b w:val="false"/>
          <w:i w:val="false"/>
          <w:color w:val="000000"/>
          <w:sz w:val="24"/>
          <w:lang w:val="pl-Pl"/>
        </w:rPr>
        <w:t xml:space="preserve"> z dnia 20 marca 2015 r. o działaczach opozycji antykomunistycznej oraz osobach represjonowanych z powodów politycznych (Dz. U. poz. 693 i 1220), świadczenia wychowawczego,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11 lutego 2016 r. o pomocy państwa w wychowywaniu dzieci (Dz. U. poz. 195), oraz dodatku wychowawczego,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9 czerwca 2011 r. o wspieraniu rodziny i systemie pieczy zastępczej (Dz. U. z 2015 r. poz. 332, z późn. zm.).</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Dochód z prowadzenia gospodarstwa rolnego ustala się na podstawie powierzchni gruntów w hektarach przeliczeniowych i przeciętnego dochodu z 1 hektara przeliczeniowego, ostatnio ogłaszanego przez Prezesa Głównego Urzędu Statystycznego, na podstawie </w:t>
      </w:r>
      <w:r>
        <w:rPr>
          <w:rFonts w:ascii="Times New Roman"/>
          <w:b w:val="false"/>
          <w:i w:val="false"/>
          <w:color w:val="1b1b1b"/>
          <w:sz w:val="24"/>
          <w:lang w:val="pl-Pl"/>
        </w:rPr>
        <w:t>art. 18</w:t>
      </w:r>
      <w:r>
        <w:rPr>
          <w:rFonts w:ascii="Times New Roman"/>
          <w:b w:val="false"/>
          <w:i w:val="false"/>
          <w:color w:val="000000"/>
          <w:sz w:val="24"/>
          <w:lang w:val="pl-Pl"/>
        </w:rPr>
        <w:t xml:space="preserve"> ustawy z dnia 15 listopada 1984 r. o podatku rolnym (Dz. U. z 2006 r. Nr 136, poz. 969, z późn. zm.).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w:t>
      </w:r>
      <w:r>
        <w:rPr>
          <w:rFonts w:ascii="Times New Roman"/>
          <w:b/>
          <w:i w:val="false"/>
          <w:color w:val="000000"/>
          <w:sz w:val="24"/>
          <w:lang w:val="pl-Pl"/>
        </w:rPr>
        <w:t xml:space="preserve"> [Gospodarstwo domowe]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Przez gospodarstwo domowe rozumie się gospodarstwo prowadzone przez osobę ubiegającą się o dodatek mieszkaniowy, samodzielnie zajmującą lokal albo gospodarstwo prowadzone przez tę osobę wspólnie z małżonkiem i innymi osobami stale z nią zamieszkującymi i gospodarującymi, które swoje prawa do zamieszkiwania w lokalu wywodzą z prawa tej osoby.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w:t>
      </w:r>
      <w:r>
        <w:rPr>
          <w:rFonts w:ascii="Times New Roman"/>
          <w:b/>
          <w:i w:val="false"/>
          <w:color w:val="000000"/>
          <w:sz w:val="24"/>
          <w:lang w:val="pl-Pl"/>
        </w:rPr>
        <w:t xml:space="preserve"> [Normatywna powierzchnia użytkowa lokalu mieszkalnego]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Normatywna powierzchnia użytkowa lokalu mieszkalnego lub budynku mieszkalnego, w którym znajduje się tylko jeden lokal mieszkalny (dom jednorodzinny), zwana dalej "normatywną powierzchnią", w przeliczeniu na liczbę członków gospodarstwa domowego nie może przekraczać: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35 m</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 dla 1 osoby,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40 m</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 dla 2 osób,</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45 m</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 dla 3 osób,</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55 m</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 dla 4 osób,</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65 m</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 dla 5 osób,</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70 m</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 dla 6 osób, a w razie zamieszkiwania w lokalu mieszkalnym większej liczby osób dla każdej kolejnej osoby zwiększa się normatywną powierzchnię tego lokalu o 5 m</w:t>
      </w:r>
      <w:r>
        <w:rPr>
          <w:rFonts w:ascii="Times New Roman"/>
          <w:b w:val="false"/>
          <w:i w:val="false"/>
          <w:color w:val="000000"/>
          <w:sz w:val="24"/>
          <w:vertAlign w:val="superscript"/>
          <w:lang w:val="pl-Pl"/>
        </w:rPr>
        <w:t>2</w:t>
      </w:r>
      <w:r>
        <w:rPr>
          <w:rFonts w:ascii="Times New Roman"/>
          <w:b w:val="false"/>
          <w:i w:val="false"/>
          <w:color w:val="000000"/>
          <w:sz w:val="24"/>
          <w:lang w:val="pl-Pl"/>
        </w:rPr>
        <w:t>.</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wypadku najmu albo podnajmu części lokalu mieszkalnego za powierzchnię użytkową lokalu mieszkalnego lub części tego lokalu zajmowanego przez gospodarstwo domowe najemcy albo podnajemcy uważa się powierzchnię zajmowanych pokoi, wynikającą z umowy najmu lub podnajmu, oraz część powierzchni kuchni, łazienki, korytarzy i innych pomieszczeń wspólnych znajdujących się w tym lokalu, odpowiadającą stosunkowi liczby członków gospodarstwa domowego najemcy albo podnajemcy do liczby osób zajmujących cały lokal. Za powierzchnię użytkową lokalu mieszkalnego zamieszkiwaną przez wynajmującego uważa się powierzchnię pokoi zajmowanych przez gospodarstwo domowe wynajmującego oraz część powierzchni kuchni, łazienki, korytarzy i innych pomieszczeń wspólnych wchodzących w skład tego lokalu, odpowiadającą stosunkowi liczby członków gospodarstwa domowego wynajmującego do liczby osób zajmujących cały lokal.</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Normatywną powierzchnię powiększa się o 15 m</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jeżeli w lokalu mieszkalnym zamieszkuje osoba niepełnosprawna poruszająca się na wózku lub osoba niepełnosprawna, której niepełnosprawność wymaga zamieszkiwania w oddzielnym pokoju. O wymogu zamieszkiwania w oddzielnym pokoju orzekają powiatowe zespoły do spraw orzekania o niepełnosprawności, o których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27 sierpnia 1997 r. o rehabilitacji zawodowej i społecznej oraz zatrudnianiu osób niepełnosprawnych (Dz. U. z 2011 r. Nr 127, poz. 721, z późn. zm.).</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Wydatki na normatywną powierzchnię zajmowanego lokalu mieszkalnego oblicza się, dzieląc wydatki za ten lokal przez jego powierzchnię użytkową i mnożąc uzyskany w ten sposób wskaźnik przez normatywną powierzchnię, o której mowa w ust. 1.</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Dodatek mieszkaniowy przysługuje, gdy powierzchnia użytkowa lokalu mieszkalnego nie przekracza normatywnej powierzchni o więcej niż:</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30%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50% pod warunkiem, że udział powierzchni pokoi i kuchni w powierzchni użytkowej tego lokalu nie przekracza 60%.</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w:t>
      </w:r>
      <w:r>
        <w:rPr>
          <w:rFonts w:ascii="Times New Roman"/>
          <w:b/>
          <w:i w:val="false"/>
          <w:color w:val="000000"/>
          <w:sz w:val="24"/>
          <w:lang w:val="pl-Pl"/>
        </w:rPr>
        <w:t xml:space="preserve"> [Wysokość dodatku mieszkaniowego]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Wysokość dodatku mieszkaniowego stanowi różnicę między wydatkami, o których mowa w ust. 3-6, przypadającymi na normatywną powierzchnię użytkową zajmowanego lokalu mieszkalnego, a kwotą stanowiącą wydatki poniesione przez osobę otrzymującą, z zastrzeżeniem ust. 2, dodatek w wysokości: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15% dochodów gospodarstwa domowego - w gospodarstwie jednoosobowym;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12% dochodów gospodarstwa domowego - w gospodarstwie 2-4-osobowym;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10% dochodów gospodarstwa domowego - w gospodarstwie 5-osobowym i większym.</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średni miesięczny dochód, o którym mowa w art. 3 ust. 1, jest równy lub wyższy od 150% kwoty najniższej emerytury w gospodarstwie jednoosobowym i 100% tej kwoty w gospodarstwie wieloosobowym, lecz nie przekracza odpowiednich wysokości średnich miesięcznych dochodów wymienionych w art. 3 ust. 1, wówczas dla celów obliczenia dodatku mieszkaniowego przyjmuje się wydatki poniesione przez osobę otrzymującą dodatek w wysokości: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20% dochodów gospodarstwa domowego - w gospodarstwie jednoosobowym;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15% dochodów gospodarstwa domowego - w gospodarstwie 2-4-osobowym;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12% dochodów gospodarstwa domowego - w gospodarstwie 5-osobowym i większym.</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Wydatkami poniesionymi przez osobę ubiegającą się o dodatek mieszkaniowy są świadczenia okresowe ponoszone przez gospodarstwo domowe w związku z zajmowaniem lokalu mieszkalnego.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Wydatkami, o których mowa w ust. 3, są: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czynsz;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opłaty związane z eksploatacją i utrzymaniem nieruchomości w częściach przypadających na lokale mieszkalne w spółdzielni mieszkaniowej;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zaliczki na koszty zarządu nieruchomością wspólną;</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odszkodowanie za zajmowanie lokalu bez tytułu prawnego;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inne niż wymienione w pkt 1-4 opłaty za używanie lokalu mieszkalnego;</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opłaty za energię cieplną, wodę, odbiór nieczystości stałych i płynnych;</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wydatek stanowiący podstawę obliczania ryczałtu na zakup opału.</w:t>
      </w:r>
    </w:p>
    <w:p>
      <w:pPr>
        <w:spacing w:before="26" w:after="0"/>
        <w:ind w:left="0"/>
        <w:jc w:val="left"/>
        <w:textAlignment w:val="auto"/>
      </w:pPr>
      <w:r>
        <w:rPr>
          <w:rFonts w:ascii="Times New Roman"/>
          <w:b w:val="false"/>
          <w:i w:val="false"/>
          <w:color w:val="000000"/>
          <w:sz w:val="24"/>
          <w:lang w:val="pl-Pl"/>
        </w:rPr>
        <w:t xml:space="preserve">4a. </w:t>
      </w:r>
      <w:r>
        <w:rPr>
          <w:rFonts w:ascii="Times New Roman"/>
          <w:b w:val="false"/>
          <w:i w:val="false"/>
          <w:color w:val="000000"/>
          <w:sz w:val="24"/>
          <w:lang w:val="pl-Pl"/>
        </w:rPr>
        <w:t>Nie stanowią wydatków, o których mowa w ust. 4, wydatki poniesione z tytułu: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ubezpieczeń, podatku od nieruchomości, opłat za wieczyste użytkowanie gruntów;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opłat za gaz przewodowy, energię elektryczną, dostarczane do lokalu mieszkalnego (domu jednorodzinnego) na cele bytowe.</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Jeżeli osoba ubiegająca się o dodatek mieszkaniowy zamieszkuje w lokalu mieszkalnym lub domu niewchodzącym w skład mieszkaniowego zasobu gminy, do wydatków przyjmowanych dla celów obliczenia dodatku mieszkaniowego zalicza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wydatki, które w wypadku najmu lokalu mieszkalnego byłyby pokrywane w ramach czynszu, lecz wyłącznie do wysokości czynszu, jaki obowiązywałby dla danego lokalu, gdyby lokal ten wchodził w skład zasobu mieszkaniowego gminy;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opłaty, poza czynszem, które obowiązywałyby w zasobie mieszkaniowym gminy, gdyby lokal ten wchodził w skład tego zasobu.</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Jeżeli lokal mieszkalny nie jest wyposażony w instalację doprowadzającą energię cieplną do celów ogrzewania, w instalację ciepłej wody lub gazu przewodowego z zewnętrznego źródła znajdującego się poza lokalem mieszkalnym, osobie uprawnionej do dodatku mieszkaniowego przyznaje się ryczałt na zakup opału stanowiący część dodatku mieszkaniowego.</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Jeżeli średni miesięczny dochód na jednego członka gospodarstwa domowego jest wyższy od określonego w art. 3 ust. 1, a kwota nadwyżki nie przekracza wysokości dodatku mieszkaniowego, należny dodatek mieszkaniowy obniża się o tę kwotę.</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Jeżeli powierzchnia użytkowa lokalu mieszkalnego jest mniejsza lub równa normatywnej powierzchni, dodatek mieszkaniowy ustala się w wysokości różnicy między wydatkami ponoszonymi za ten lokal a odpowiednią kwotą wymienioną w ust. 1 pkt 1-3 lub w ust. 2 pkt 1-3.</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Wysokość dodatku mieszkaniowego, łącznie z ryczałtem, o którym mowa w ust. 7, nie może przekraczać, z zastrzeżeniem ust. 11, 70% wydatków przypadających na normatywną powierzchnię zajmowanego lokalu mieszkalnego lub 70% faktycznych wydatków ponoszonych za lokal mieszkalny, jeżeli powierzchnia tego lokalu jest mniejsza lub równa normatywnej powierzchni.</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Rada gminy, w drodze uchwały, może podwyższyć lub obniżyć, nie więcej niż o 20 punktów procentowych, wysokość wskaźników procentowych, o których mowa w ust. 10.</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w:t>
      </w:r>
      <w:r>
        <w:rPr>
          <w:rFonts w:ascii="Times New Roman"/>
          <w:b/>
          <w:i w:val="false"/>
          <w:color w:val="000000"/>
          <w:sz w:val="24"/>
          <w:lang w:val="pl-Pl"/>
        </w:rPr>
        <w:t xml:space="preserve"> [Przyznanie dodatku mieszkaniowego]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Dodatek mieszkaniowy przyznaje, na wniosek osoby uprawnionej do dodatku mieszkaniowego, wójt, burmistrz lub prezydent miasta, w drodze decyzji administracyjnej. Do wniosku dołącza się deklarację o dochodach gospodarstwa domowego za okres 3 miesięcy kalendarzowych poprzedzających dzień złożenia wniosku oraz inne niezbędne dokumenty.</w:t>
      </w: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Organ, o którym mowa w ust. 1, może upoważnić inną osobę do wydawania decyzji w sprawach dodatku mieszkaniowego.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Właściciel domu jednorodzinnego jest obowiązany dołączyć do wniosku, o którym mowa w ust. 1, dokumenty albo oświadczenie o wielkości powierzchni użytkowej, w tym łącznej powierzchni pokoi i kuchni, oraz o wyposażeniu technicznym domu.</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Oświadczenie, o którym mowa w ust. 2,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Organ, o którym mowa w ust. 1, odmawia przyznania dodatku mieszkaniowego, jeżeli w wyniku przeprowadzenia wywiadu środowiskowego ustali, że: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występuje rażąca dysproporcja pomiędzy niskimi dochodami wykazanymi w złożonej deklaracji, o której mowa w ust. 1, a faktycznym stanem majątkowym wnioskodawcy, wskazującym, że jest on w stanie uiszczać wydatki związane z zajmowaniem lokalu mieszkalnego (domu jednorodzinnego) wykorzystując własne środki i posiadane zasoby majątkowe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faktyczna liczba wspólnie stale zamieszkujących i gospodarujących z wnioskodawcą jest mniejsza niż wykazana w deklaracji, o której mowa w ust. 1.</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Upoważniony przez organ, o którym mowa w ust. 1, pracownik przeprowadzający wywiad środowiskowy może żądać od wnioskodawcy i innych członków gospodarstwa domowego złożenia, pod rygorem odpowiedzialności karnej, oświadczenia o stanie majątkowym, zawierającego w szczególności dane dotyczące posiadanych: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ruchomości i nieruchomości;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zasobów pieniężnych.</w:t>
      </w:r>
    </w:p>
    <w:p>
      <w:pPr>
        <w:spacing w:before="25" w:after="0"/>
        <w:ind w:left="0"/>
        <w:jc w:val="both"/>
        <w:textAlignment w:val="auto"/>
      </w:pPr>
      <w:r>
        <w:rPr>
          <w:rFonts w:ascii="Times New Roman"/>
          <w:b w:val="false"/>
          <w:i w:val="false"/>
          <w:color w:val="000000"/>
          <w:sz w:val="24"/>
          <w:lang w:val="pl-Pl"/>
        </w:rPr>
        <w:t>Odmowa złożenia oświadczenia stanowi podstawę do wydania decyzji o odmowie przyznania dodatku mieszkaniowego.</w:t>
      </w:r>
    </w:p>
    <w:p>
      <w:pPr>
        <w:spacing w:before="26" w:after="0"/>
        <w:ind w:left="0"/>
        <w:jc w:val="left"/>
        <w:textAlignment w:val="auto"/>
      </w:pPr>
      <w:r>
        <w:rPr>
          <w:rFonts w:ascii="Times New Roman"/>
          <w:b w:val="false"/>
          <w:i w:val="false"/>
          <w:color w:val="000000"/>
          <w:sz w:val="24"/>
          <w:lang w:val="pl-Pl"/>
        </w:rPr>
        <w:t xml:space="preserve">4a. </w:t>
      </w:r>
      <w:r>
        <w:rPr>
          <w:rFonts w:ascii="Times New Roman"/>
          <w:b w:val="false"/>
          <w:i w:val="false"/>
          <w:color w:val="000000"/>
          <w:sz w:val="24"/>
          <w:lang w:val="pl-Pl"/>
        </w:rPr>
        <w:t>Przed złożeniem oświadczenia, o którym mowa w ust. 4, pracownik przeprowadzający wywiad środowiskowy poucza składającego oświadczenie o odpowiedzialności karnej za złożenie fałszywego oświadczenia.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Dodatek mieszkaniowy przyznaje się na okres 6 miesięcy, licząc od pierwszego dnia miesiąca następującego po dniu złożenia wniosku.</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Dodatku mieszkaniowego nie przyznaje się, jeżeli jego kwota byłaby niższa niż 2% kwoty najniższej emerytury w dniu wydania decyzji.</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Decyzja w sprawie dodatku mieszkaniowego powinna być wydana w ciągu miesiąca od dnia złożenia wniosku oraz doręczona wnioskodawcy i zarządcy lub osobie uprawnionej do pobierania należności za lokal mieszkalny.</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Wniesienie odwołania od decyzji, o której mowa w ust. 7, nie powoduje wstrzymania wypłaty tego dodatku. Odwołanie wnosi się do samorządowego kolegium odwoławczego za pośrednictwem organu, który wydał tę decyzję.</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Jeżeli w wyniku wznowienia postępowania stwierdzono, że dodatek mieszkaniowy przyznano na podstawie nieprawdziwych danych zawartych w deklaracji lub wniosku, o których mowa w ust. 1, osoba otrzymująca dodatek mieszkaniowy jest obowiązana do zwrotu nienależnie pobranych kwot w podwójnej wysokości. Należności te wraz z odsetkami i kosztami egzekucyjnymi podlegają przymusowemu ściągnięciu w trybie postępowania egzekucyjnego w administracji. Wypłatę dodatku mieszkaniowego w skorygowanej wysokości wstrzymuje się do czasu wyegzekwowania należności.</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Zmiany danych zawartych we wniosku lub deklaracji złożonej przez wnioskodawcę, które nastąpiły w okresie 6 miesięcy od dnia przyznania dodatku mieszkaniowego, nie mają wpływu na wysokość wypłacanego dodatku mieszkaniowego.</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W wypadku stwierdzenia, że osoba, której przyznano dodatek mieszkaniowy, nie opłaca na bieżąco należności za zajmowany lokal mieszkalny, wypłatę dodatku mieszkaniowego wstrzymuje się, w drodze decyzji administracyjnej, do czasu uregulowania zaległości. Jeżeli uregulowanie zaległości nie nastąpi w ciągu 3 miesięcy od dnia wydania decyzji, o której mowa w zdaniu pierwszym, decyzja o przyznaniu dodatku mieszkaniowego wygasa. W wypadku uregulowania należności w terminie określonym w zdaniu drugim wypłaca się dodatek mieszkaniowy za okres, w którym wypłata była wstrzymana.</w:t>
      </w:r>
    </w:p>
    <w:p>
      <w:pPr>
        <w:spacing w:before="26"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Osoba, w stosunku do której z powodu nieuregulowania należności za zajmowany lokal mieszkalny wygasła decyzja o przyznaniu dodatku mieszkaniowego, może wystąpić ponownie o jego przyznanie po uregulowaniu zaległości powstałych w okresie obowiązywania tej decyzji.</w:t>
      </w:r>
    </w:p>
    <w:p>
      <w:pPr>
        <w:spacing w:before="26" w:after="0"/>
        <w:ind w:left="0"/>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Na żądanie organu przyznającego dodatek mieszkaniowy osoba pobierająca dodatek jest obowiązana udostępnić dokumenty potwierdzające wysokość dochodów wykazanych w deklaracji, o której mowa w ust. 1.</w:t>
      </w:r>
    </w:p>
    <w:p>
      <w:pPr>
        <w:spacing w:before="26" w:after="0"/>
        <w:ind w:left="0"/>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Osoba korzystająca z dodatku mieszkaniowego jest obowiązana przechowywać dokumenty, o których mowa w ust. 13, przez okres 3 lat od dnia wydania decyzji o przyznaniu tego dodatku.</w:t>
      </w:r>
    </w:p>
    <w:p>
      <w:pPr>
        <w:spacing w:before="26" w:after="0"/>
        <w:ind w:left="0"/>
        <w:jc w:val="left"/>
        <w:textAlignment w:val="auto"/>
      </w:pPr>
      <w:r>
        <w:rPr>
          <w:rFonts w:ascii="Times New Roman"/>
          <w:b w:val="false"/>
          <w:i w:val="false"/>
          <w:color w:val="000000"/>
          <w:sz w:val="24"/>
          <w:lang w:val="pl-Pl"/>
        </w:rPr>
        <w:t xml:space="preserve">15. </w:t>
      </w:r>
      <w:r>
        <w:rPr>
          <w:rFonts w:ascii="Times New Roman"/>
          <w:b w:val="false"/>
          <w:i w:val="false"/>
          <w:color w:val="000000"/>
          <w:sz w:val="20"/>
          <w:vertAlign w:val="superscript"/>
          <w:lang w:val="pl-Pl"/>
        </w:rPr>
        <w:t>2</w:t>
      </w:r>
      <w:r>
        <w:rPr>
          <w:rFonts w:ascii="Times New Roman"/>
          <w:b w:val="false"/>
          <w:i w:val="false"/>
          <w:color w:val="000000"/>
          <w:sz w:val="24"/>
          <w:lang w:val="pl-Pl"/>
        </w:rPr>
        <w:t xml:space="preserve">  </w:t>
      </w:r>
      <w:r>
        <w:rPr>
          <w:rFonts w:ascii="Times New Roman"/>
          <w:b w:val="false"/>
          <w:i w:val="false"/>
          <w:color w:val="000000"/>
          <w:sz w:val="24"/>
          <w:lang w:val="pl-Pl"/>
        </w:rPr>
        <w:t xml:space="preserve"> Minister właściwy do spraw budownictwa, planowania i zagospodarowania przestrzennego oraz mieszkalnictwa określi, w drodze rozporządzenia, sposób przeprowadzania wywiadu środowiskowego, a w szczególności ustali wzór kwestionariusza wywiadu, wzór oświadczenia o stanie majątkowym wnioskodawcy i innych członków gospodarstwa domowego oraz wzór legitymacji pracownika upoważnionego do przeprowadzenia wywiadu, mając na uwadze czytelność danych w nich zawartych.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w:t>
      </w:r>
      <w:r>
        <w:rPr>
          <w:rFonts w:ascii="Times New Roman"/>
          <w:b/>
          <w:i w:val="false"/>
          <w:color w:val="000000"/>
          <w:sz w:val="24"/>
          <w:lang w:val="pl-Pl"/>
        </w:rPr>
        <w:t xml:space="preserve"> [Wypłata dodatku mieszkaniowego]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Dodatek mieszkaniowy wypłaca się, w terminie do dnia 10 każdego miesiąca z góry, zarządcy domu lub osobie uprawnionej do pobierania należności za lokal mieszkalny. W tym samym terminie wypłaca się ryczałt, o którym mowa w art. 6 ust. 7.</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Dodatek mieszkaniowy wypłaca się w całości do rąk osoby będącej właścicielem domu jednorodzinnego w terminie, o którym mowa w ust. 1.</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Zarządca domu lub osoba, o której mowa w ust. 1, zalicza dodatek mieszkaniowy na poczet przysługujących lub rozliczanych za jej pośrednictwem należności za zajmowany lokal mieszkalny.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Pobierający należności za lokale mieszkalne ma obowiązek niezwłocznego zawiadomienia organu przyznającego dodatek mieszkaniowy o wystąpieniu zaległości, o których mowa w art. 7 ust. 11, obejmujących pełne 2 miesiące. W razie niedopełnienia tego obowiązku pobierający zwraca organowi przyznającemu dodatek mieszkaniowy kwoty dodatków wypłacone za miesiące, w których występowały zaległości w tych opłatach. Pobierający jest obowiązany zwrócić organowi te kwoty w terminie kolejnych 2 miesięcy, jeżeli gospodarstwo domowe, któremu przyznano dodatek mieszkaniowy, nie uiści zaległych opłat w terminie miesiąca od powstania obowiązku zawiadomienia organu o powstaniu zaległości. Jeżeli ryczałt na zakup opału był wypłacany do rąk pobierającego, na którym spoczywa obowiązek powiadamiania organu przyznającego dodatek mieszkaniowy o wystąpieniu zaległości w opłatach, pobierający zwraca także nienależnie wypłacony ryczałt.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w:t>
      </w:r>
      <w:r>
        <w:rPr>
          <w:rFonts w:ascii="Times New Roman"/>
          <w:b/>
          <w:i w:val="false"/>
          <w:color w:val="000000"/>
          <w:sz w:val="24"/>
          <w:lang w:val="pl-Pl"/>
        </w:rPr>
        <w:t xml:space="preserve"> [Delegacja ustawowa - wnioski, deklaracje, wysokość ryczałtu na zakup opału]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Rada Ministrów, w drodze rozporządzenia, określi: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(utracił moc);</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sposób ustalania wysokości ryczałtu na zakup opału;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wzór wniosku o przyznanie dodatku mieszkaniowego;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wzór deklaracji o dochodach gospodarstwa domowego.</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Rozporządzenie, o którym mowa w ust. 1, określa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szczegółowe rodzaje wydatków w gospodarstwach domowych: najemców, członków spółdzielni mieszkaniowych, właścicieli domów jednorodzinnych, właścicieli budynków i lokali mieszkalnych, osób zajmujących lokal mieszkalny bez tytułu prawnego i oczekujących na przysługujący im lokal zamienny lub socjalny oraz najemców i podnajemców opłacających czynsz wolny;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sposób ustalania i maksymalną wysokość ryczałtu na zakup opału dla gospodarstw domowych, których lokale mieszkalne nie są wyposażone w instalację doprowadzającą energię cieplną do celów ogrzewania, w instalację ciepłej wody oraz gazu przewodowego;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dane, które powinny być zawarte we wniosku o przyznanie dodatku mieszkaniowego, a w szczególności dotyczące osoby ubiegającej się o ten dodatek, zajmowanego lokalu mieszkalnego i jego technicznego wyposażenia oraz miesięcznych wydatków za ten lokal;</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dane, które powinny być zawarte w deklaracji o dochodach, a w szczególności dane dotyczące osób wchodzących w skład gospodarstwa domowego, ich miejsca pracy bądź nauki oraz wysokość ich dochodu.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9a.</w:t>
      </w:r>
      <w:r>
        <w:rPr>
          <w:rFonts w:ascii="Times New Roman"/>
          <w:b/>
          <w:i w:val="false"/>
          <w:color w:val="000000"/>
          <w:sz w:val="24"/>
          <w:lang w:val="pl-Pl"/>
        </w:rPr>
        <w:t xml:space="preserve"> [Zadanie własne gminy]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Wypłata dodatków mieszkaniowych jest zadaniem własnym gminy.</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2 </w:t>
      </w:r>
    </w:p>
    <w:p>
      <w:pPr>
        <w:spacing w:before="25" w:after="0"/>
        <w:ind w:left="0"/>
        <w:jc w:val="center"/>
        <w:textAlignment w:val="auto"/>
      </w:pPr>
      <w:r>
        <w:rPr>
          <w:rFonts w:ascii="Times New Roman"/>
          <w:b/>
          <w:i w:val="false"/>
          <w:color w:val="000000"/>
          <w:sz w:val="24"/>
          <w:lang w:val="pl-Pl"/>
        </w:rPr>
        <w:t> (oznaczenie rozdziału uchylone).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10.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11.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12.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13.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14. </w:t>
      </w:r>
    </w:p>
    <w:p>
      <w:pPr>
        <w:spacing w:after="0"/>
        <w:ind w:left="0"/>
        <w:jc w:val="left"/>
        <w:textAlignment w:val="auto"/>
      </w:pPr>
      <w:r>
        <w:rPr>
          <w:rFonts w:ascii="Times New Roman"/>
          <w:b w:val="false"/>
          <w:i w:val="false"/>
          <w:color w:val="000000"/>
          <w:sz w:val="24"/>
          <w:lang w:val="pl-Pl"/>
        </w:rPr>
        <w:t>(uchylony).</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3 </w:t>
      </w:r>
    </w:p>
    <w:p>
      <w:pPr>
        <w:spacing w:before="25" w:after="0"/>
        <w:ind w:left="0"/>
        <w:jc w:val="center"/>
        <w:textAlignment w:val="auto"/>
      </w:pPr>
      <w:r>
        <w:rPr>
          <w:rFonts w:ascii="Times New Roman"/>
          <w:b/>
          <w:i w:val="false"/>
          <w:color w:val="000000"/>
          <w:sz w:val="24"/>
          <w:lang w:val="pl-Pl"/>
        </w:rPr>
        <w:t>Zmiany w przepisach obowiązujących. Przepisy przejściowe i końcowe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15. </w:t>
      </w:r>
    </w:p>
    <w:p>
      <w:pPr>
        <w:spacing w:after="0"/>
        <w:ind w:left="0"/>
        <w:jc w:val="left"/>
        <w:textAlignment w:val="auto"/>
      </w:pPr>
      <w:r>
        <w:rPr>
          <w:rFonts w:ascii="Times New Roman"/>
          <w:b w:val="false"/>
          <w:i/>
          <w:color w:val="000000"/>
          <w:sz w:val="24"/>
          <w:lang w:val="pl-Pl"/>
        </w:rPr>
        <w:t>W ustawie z dnia 2 lipca 1994 r. o najmie lokali mieszkalnych i dodatkach mieszkaniowych (Dz. U. z 1998 r. Nr 120, poz. 787 i Nr 162, poz. 1119, z 1999 r. Nr 111, poz. 1281, z 2000 r. Nr 3, poz. 46, Nr 5, poz. 67, Nr 83, poz. 946, Nr 88, poz. 988, Nr 95, poz. 1041 i Nr 122, poz. 1317 oraz z 2001 r. Nr 4, poz. 27, Nr 32, poz. 386 i Nr 71, poz. 733)</w:t>
      </w:r>
      <w:r>
        <w:rPr>
          <w:rFonts w:ascii="Times New Roman"/>
          <w:b w:val="false"/>
          <w:i w:val="false"/>
          <w:color w:val="000000"/>
          <w:sz w:val="24"/>
          <w:lang w:val="pl-Pl"/>
        </w:rPr>
        <w:t xml:space="preserve"> </w:t>
      </w:r>
      <w:r>
        <w:rPr>
          <w:rFonts w:ascii="Times New Roman"/>
          <w:b w:val="false"/>
          <w:i w:val="false"/>
          <w:color w:val="000000"/>
          <w:sz w:val="20"/>
          <w:vertAlign w:val="superscript"/>
          <w:lang w:val="pl-Pl"/>
        </w:rPr>
        <w:t>3</w:t>
      </w:r>
      <w:r>
        <w:rPr>
          <w:rFonts w:ascii="Times New Roman"/>
          <w:b w:val="false"/>
          <w:i w:val="false"/>
          <w:color w:val="000000"/>
          <w:sz w:val="24"/>
          <w:lang w:val="pl-Pl"/>
        </w:rPr>
        <w:t xml:space="preserve">  skreśla się </w:t>
      </w:r>
      <w:r>
        <w:rPr>
          <w:rFonts w:ascii="Times New Roman"/>
          <w:b w:val="false"/>
          <w:i w:val="false"/>
          <w:color w:val="1b1b1b"/>
          <w:sz w:val="24"/>
          <w:lang w:val="pl-Pl"/>
        </w:rPr>
        <w:t>rozdział 6</w:t>
      </w:r>
      <w:r>
        <w:rPr>
          <w:rFonts w:ascii="Times New Roman"/>
          <w:b w:val="false"/>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w:t>
      </w:r>
      <w:r>
        <w:rPr>
          <w:rFonts w:ascii="Times New Roman"/>
          <w:b/>
          <w:i w:val="false"/>
          <w:color w:val="000000"/>
          <w:sz w:val="24"/>
          <w:lang w:val="pl-Pl"/>
        </w:rPr>
        <w:t xml:space="preserve"> [Dodatki mieszkaniowe w 2002 r.]</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2002 r. dodatek mieszkaniowy przysługuje osobom, o których mowa w art. 2 ust. 1, jeżeli średni miesięczny dochód na jednego członka gospodarstwa domowego w okresie 3 miesięcy poprzedzających datę złożenia wniosku o przyznanie dodatku mieszkaniowego nie przekracza 150% kwoty najniższej emerytury w gospodarstwie jednoosobowym lub 100% tej kwoty w gospodarstwie wieloosobowym, obowiązującej w dniu złożenia wniosku, z zastrzeżeniem art. 6 ust. 8.</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w:t>
      </w:r>
      <w:r>
        <w:rPr>
          <w:rFonts w:ascii="Times New Roman"/>
          <w:b/>
          <w:i w:val="false"/>
          <w:color w:val="000000"/>
          <w:sz w:val="24"/>
          <w:lang w:val="pl-Pl"/>
        </w:rPr>
        <w:t xml:space="preserve"> [Dodatki mieszkaniowe w latach 2003-2004]</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latach 2003 i 2004 dodatek mieszkaniowy przysługuje osobom, o których mowa w art. 2 ust. 1, jeżeli średni miesięczny dochód na jednego członka gospodarstwa domowego w okresie 3 miesięcy poprzedzających datę złożenia wniosku o przyznanie dodatku mieszkaniowego nie przekracza 160% kwoty najniższej emerytury w gospodarstwie jednoosobowym lub 110% tej kwoty w gospodarstwie wieloosobowym, obowiązującej w dniu złożenia wniosku, z zastrzeżeniem art. 6 ust. 8.</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średni miesięczny dochód, o którym mowa w ust. 1, jest równy lub wyższy od 150% kwoty najniższej emerytury w gospodarstwie jednoosobowym i 100% tej kwoty w gospodarstwie wieloosobowym, lecz nie przekracza odpowiednich wysokości średnich miesięcznych dochodów wymienionych w ust. 1, wówczas dla celów obliczenia dodatku mieszkaniowego przyjmuje się wydatki poniesione przez osobę otrzymującą dodatek mieszkaniowy w wysokości: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20% dochodów gospodarstwa domowego - w gospodarstwie jednoosobowym;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15% dochodów gospodarstwa domowego - w gospodarstwie 2-4-osobowym;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12% dochodów gospodarstwa domowego - w gospodarstwie 5-osobowym i większym.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18.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w:t>
      </w:r>
      <w:r>
        <w:rPr>
          <w:rFonts w:ascii="Times New Roman"/>
          <w:b/>
          <w:i w:val="false"/>
          <w:color w:val="000000"/>
          <w:sz w:val="24"/>
          <w:lang w:val="pl-Pl"/>
        </w:rPr>
        <w:t xml:space="preserve"> [Sprawy wszczęte przed wejściem w życie ustawy]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Sprawy wszczęte i niezakończone przed dniem wejścia w życie ustawy prowadzi się na podstawie jej przepisów.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20.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w:t>
      </w:r>
      <w:r>
        <w:rPr>
          <w:rFonts w:ascii="Times New Roman"/>
          <w:b/>
          <w:i w:val="false"/>
          <w:color w:val="000000"/>
          <w:sz w:val="24"/>
          <w:lang w:val="pl-Pl"/>
        </w:rPr>
        <w:t xml:space="preserve"> [Wejście w życie ustawy]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Ustawa wchodzi w życie z dniem 1 stycznia 2002 r., z wyjątkiem: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art. 3 ust. 1, art. 6 ust. 2 oraz art. 10 ust. 7, które wchodzą w życie z dniem 1 stycznia 2005 r.;</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art. 14, który wchodzi w życie z dniem 1 listopada 2001 r.</w:t>
      </w:r>
    </w:p>
    <w:p>
      <w:pPr>
        <w:spacing w:before="250" w:after="0"/>
        <w:ind w:left="0"/>
        <w:jc w:val="left"/>
        <w:textAlignment w:val="auto"/>
      </w:pPr>
      <w:r>
        <w:rPr>
          <w:rFonts w:ascii="Times New Roman"/>
          <w:b w:val="false"/>
          <w:i w:val="false"/>
          <w:color w:val="000000"/>
          <w:sz w:val="20"/>
          <w:vertAlign w:val="superscript"/>
          <w:lang w:val="pl-Pl"/>
        </w:rPr>
        <w:t>1</w:t>
      </w:r>
      <w:r>
        <w:rPr>
          <w:rFonts w:ascii="Times New Roman"/>
          <w:b w:val="false"/>
          <w:i w:val="false"/>
          <w:color w:val="000000"/>
          <w:sz w:val="24"/>
          <w:lang w:val="pl-Pl"/>
        </w:rPr>
        <w:t> Art. 3 ust. 3:</w:t>
      </w:r>
      <w:r>
        <w:rPr>
          <w:rFonts w:ascii="Times New Roman"/>
          <w:b w:val="false"/>
          <w:i w:val="false"/>
          <w:color w:val="000000"/>
          <w:sz w:val="24"/>
          <w:lang w:val="pl-Pl"/>
        </w:rPr>
        <w:t>- zmieniony przez art. 7 ustawy z dnia 26 lipca 2013 r. (Dz.U.2013.984) zmieniającej nin. ustawę z dniem 11 września 2013 r.</w:t>
      </w:r>
      <w:r>
        <w:rPr>
          <w:rFonts w:ascii="Times New Roman"/>
          <w:b w:val="false"/>
          <w:i w:val="false"/>
          <w:color w:val="000000"/>
          <w:sz w:val="24"/>
          <w:lang w:val="pl-Pl"/>
        </w:rPr>
        <w:t>- zmieniony przez art. 19 ustawy z dnia 20 marca 2015 r. (Dz.U.2015.693) zmieniającej nin. ustawę z dniem 31 sierpnia 2015 r.</w:t>
      </w:r>
      <w:r>
        <w:rPr>
          <w:rFonts w:ascii="Times New Roman"/>
          <w:b w:val="false"/>
          <w:i w:val="false"/>
          <w:color w:val="000000"/>
          <w:sz w:val="24"/>
          <w:lang w:val="pl-Pl"/>
        </w:rPr>
        <w:t>- zmieniony przez art. 40 ustawy z dnia 11 lutego 2016 r. (Dz.U.2016.195) zmieniającej nin. ustawę z dniem 1 kwietnia 2016 r.</w:t>
      </w:r>
    </w:p>
    <w:p>
      <w:pPr>
        <w:spacing w:after="0"/>
        <w:ind w:left="0"/>
        <w:jc w:val="left"/>
        <w:textAlignment w:val="auto"/>
      </w:pPr>
      <w:r>
        <w:rPr>
          <w:rFonts w:ascii="Times New Roman"/>
          <w:b w:val="false"/>
          <w:i w:val="false"/>
          <w:color w:val="000000"/>
          <w:sz w:val="20"/>
          <w:vertAlign w:val="superscript"/>
          <w:lang w:val="pl-Pl"/>
        </w:rPr>
        <w:t>2</w:t>
      </w:r>
      <w:r>
        <w:rPr>
          <w:rFonts w:ascii="Times New Roman"/>
          <w:b w:val="false"/>
          <w:i w:val="false"/>
          <w:color w:val="000000"/>
          <w:sz w:val="24"/>
          <w:lang w:val="pl-Pl"/>
        </w:rPr>
        <w:t> Art. 7 ust. 15 zmieniony przez art. 19 ustawy z dnia 7 lipca 2016 r. (Dz.U.2016.1250) zmieniającej nin. ustawę z dniem 31 sierpnia 2016 r.</w:t>
      </w:r>
    </w:p>
    <w:p>
      <w:pPr>
        <w:spacing w:after="0"/>
        <w:ind w:left="0"/>
        <w:jc w:val="left"/>
        <w:textAlignment w:val="auto"/>
      </w:pPr>
      <w:r>
        <w:rPr>
          <w:rFonts w:ascii="Times New Roman"/>
          <w:b w:val="false"/>
          <w:i w:val="false"/>
          <w:color w:val="000000"/>
          <w:sz w:val="20"/>
          <w:vertAlign w:val="superscript"/>
          <w:lang w:val="pl-Pl"/>
        </w:rPr>
        <w:t>3</w:t>
      </w:r>
      <w:r>
        <w:rPr>
          <w:rFonts w:ascii="Times New Roman"/>
          <w:b w:val="false"/>
          <w:i w:val="false"/>
          <w:color w:val="000000"/>
          <w:sz w:val="24"/>
          <w:lang w:val="pl-Pl"/>
        </w:rPr>
        <w:t xml:space="preserve"> Utraciła moc na podstawie </w:t>
      </w:r>
      <w:r>
        <w:rPr>
          <w:rFonts w:ascii="Times New Roman"/>
          <w:b w:val="false"/>
          <w:i w:val="false"/>
          <w:color w:val="1b1b1b"/>
          <w:sz w:val="24"/>
          <w:lang w:val="pl-Pl"/>
        </w:rPr>
        <w:t>art. 39</w:t>
      </w:r>
      <w:r>
        <w:rPr>
          <w:rFonts w:ascii="Times New Roman"/>
          <w:b w:val="false"/>
          <w:i w:val="false"/>
          <w:color w:val="000000"/>
          <w:sz w:val="24"/>
          <w:lang w:val="pl-Pl"/>
        </w:rPr>
        <w:t xml:space="preserve"> ustawy z dnia 21 czerwca 2001 r. o ochronie praw lokatorów, mieszkaniowym zasobie gminy i o zmianie Kodeksu cywilnego (Dz.U.01.71.733) z dniem 10 lipca 2001 r.</w:t>
      </w:r>
    </w:p>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jc w:val="center"/>
    </w:pPr>
    <w:rPr>
      <w:rFonts w:ascii="Times New Roman" w:hAnsi="Times New Roman" w:eastAsia="Times New Roman" w:cs="Times New Roman"/>
      <w:b/>
      <w:color w:val="000000" w:themeColor="text1"/>
      <w:sz w:val="42"/>
    </w:rPr>
  </w:style>
  <w:style w:type="paragraph" w:styleId="TitleStyle">
    <w:name w:val="TitleStyle"/>
    <w:pPr>
      <w:spacing w:line="240" w:lineRule="auto"/>
      <w:jc w:val="left"/>
    </w:pPr>
    <w:rPr>
      <w:rFonts w:ascii="Times New Roman" w:hAnsi="Times New Roman" w:eastAsia="Times New Roman" w:cs="Times New Roman"/>
      <w:b/>
      <w:color w:val="000000" w:themeColor="text1"/>
      <w:sz w:val="32"/>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32"/>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 w:type="paragraph" w:styleId="DocDefaults">
    <w:name w:val="DocDefaults"/>
    <w:pPr>
      <w:spacing w:after="200" w:line="276" w:lineRule="auto"/>
    </w:pPr>
    <w:rPr>
      <w:rFonts w:ascii="Times New Roman" w:hAnsi="Times New Roman" w:eastAsia="Times New Roman" w:cs="Times New Roman" w:asciiTheme="minorHAnsi" w:hAnsiTheme="minorHAnsi" w:eastAsiaTheme="minorHAnsi" w:cstheme="minorBidi"/>
      <w:sz w:val="24"/>
      <w:szCs w:val="22"/>
      <w:lang w:val="pl-Pl"/>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